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EC5C1" w14:textId="7335A01A" w:rsidR="0037437F" w:rsidRPr="0037437F" w:rsidRDefault="0037437F">
      <w:pPr>
        <w:pStyle w:val="Nagwekspisutreci"/>
        <w:rPr>
          <w:rFonts w:ascii="Tahoma" w:eastAsiaTheme="minorHAnsi" w:hAnsi="Tahoma" w:cstheme="minorBidi"/>
          <w:b/>
          <w:color w:val="auto"/>
          <w:sz w:val="24"/>
          <w:szCs w:val="24"/>
          <w:lang w:eastAsia="en-US"/>
        </w:rPr>
      </w:pPr>
      <w:r>
        <w:rPr>
          <w:rFonts w:ascii="Tahoma" w:eastAsiaTheme="minorHAnsi" w:hAnsi="Tahoma" w:cstheme="minorBidi"/>
          <w:b/>
          <w:color w:val="auto"/>
          <w:sz w:val="24"/>
          <w:szCs w:val="24"/>
          <w:lang w:eastAsia="en-US"/>
        </w:rPr>
        <w:t xml:space="preserve">                      </w:t>
      </w:r>
      <w:bookmarkStart w:id="0" w:name="_GoBack"/>
      <w:bookmarkEnd w:id="0"/>
      <w:r w:rsidRPr="0037437F">
        <w:rPr>
          <w:rFonts w:ascii="Tahoma" w:eastAsiaTheme="minorHAnsi" w:hAnsi="Tahoma" w:cstheme="minorBidi"/>
          <w:b/>
          <w:color w:val="auto"/>
          <w:sz w:val="24"/>
          <w:szCs w:val="24"/>
          <w:lang w:eastAsia="en-US"/>
        </w:rPr>
        <w:t xml:space="preserve">PROCEDURA REALIZACJI PROJEKTU GRANTOWEGO                 </w:t>
      </w:r>
    </w:p>
    <w:p w14:paraId="5C556A82" w14:textId="77777777" w:rsidR="0037437F" w:rsidRDefault="0037437F">
      <w:pPr>
        <w:pStyle w:val="Nagwekspisutreci"/>
        <w:rPr>
          <w:rFonts w:ascii="Tahoma" w:eastAsiaTheme="minorHAnsi" w:hAnsi="Tahoma" w:cstheme="minorBidi"/>
          <w:color w:val="auto"/>
          <w:sz w:val="18"/>
          <w:szCs w:val="22"/>
          <w:lang w:eastAsia="en-US"/>
        </w:rPr>
      </w:pPr>
    </w:p>
    <w:sdt>
      <w:sdtPr>
        <w:rPr>
          <w:rFonts w:ascii="Tahoma" w:eastAsiaTheme="minorHAnsi" w:hAnsi="Tahoma" w:cstheme="minorBidi"/>
          <w:color w:val="auto"/>
          <w:sz w:val="18"/>
          <w:szCs w:val="22"/>
          <w:lang w:eastAsia="en-US"/>
        </w:rPr>
        <w:id w:val="-2058539984"/>
        <w:docPartObj>
          <w:docPartGallery w:val="Table of Contents"/>
          <w:docPartUnique/>
        </w:docPartObj>
      </w:sdtPr>
      <w:sdtEndPr>
        <w:rPr>
          <w:b/>
          <w:bCs/>
        </w:rPr>
      </w:sdtEndPr>
      <w:sdtContent>
        <w:p w14:paraId="228A7B4E" w14:textId="40D79BA9" w:rsidR="00325743" w:rsidRPr="001C64EB" w:rsidRDefault="00325743">
          <w:pPr>
            <w:pStyle w:val="Nagwekspisutreci"/>
            <w:rPr>
              <w:rStyle w:val="Nagwek1Znak"/>
              <w:color w:val="auto"/>
            </w:rPr>
          </w:pPr>
          <w:r w:rsidRPr="001C64EB">
            <w:rPr>
              <w:rStyle w:val="Nagwek1Znak"/>
              <w:color w:val="auto"/>
            </w:rPr>
            <w:t>Spis treści</w:t>
          </w:r>
        </w:p>
        <w:p w14:paraId="7E36110E" w14:textId="35AFB9C3" w:rsidR="008B5CBD" w:rsidRPr="001C64EB" w:rsidRDefault="00325743">
          <w:pPr>
            <w:pStyle w:val="Spistreci1"/>
            <w:rPr>
              <w:rFonts w:asciiTheme="minorHAnsi" w:eastAsiaTheme="minorEastAsia" w:hAnsiTheme="minorHAnsi"/>
              <w:b w:val="0"/>
              <w:noProof/>
              <w:sz w:val="22"/>
              <w:lang w:eastAsia="pl-PL"/>
            </w:rPr>
          </w:pPr>
          <w:r w:rsidRPr="001C64EB">
            <w:rPr>
              <w:b w:val="0"/>
            </w:rPr>
            <w:fldChar w:fldCharType="begin"/>
          </w:r>
          <w:r w:rsidRPr="001C64EB">
            <w:rPr>
              <w:b w:val="0"/>
            </w:rPr>
            <w:instrText xml:space="preserve"> TOC \o "1-1" \h \z \u </w:instrText>
          </w:r>
          <w:r w:rsidRPr="001C64EB">
            <w:rPr>
              <w:b w:val="0"/>
            </w:rPr>
            <w:fldChar w:fldCharType="separate"/>
          </w:r>
          <w:hyperlink w:anchor="_Toc7251552" w:history="1">
            <w:r w:rsidR="008B5CBD" w:rsidRPr="001C64EB">
              <w:rPr>
                <w:rStyle w:val="Hipercze"/>
                <w:noProof/>
                <w:color w:val="auto"/>
              </w:rPr>
              <w:t>1. Definicje</w:t>
            </w:r>
            <w:r w:rsidR="008B5CBD" w:rsidRPr="001C64EB">
              <w:rPr>
                <w:noProof/>
                <w:webHidden/>
              </w:rPr>
              <w:tab/>
            </w:r>
            <w:r w:rsidR="008B5CBD" w:rsidRPr="001C64EB">
              <w:rPr>
                <w:noProof/>
                <w:webHidden/>
              </w:rPr>
              <w:fldChar w:fldCharType="begin"/>
            </w:r>
            <w:r w:rsidR="008B5CBD" w:rsidRPr="001C64EB">
              <w:rPr>
                <w:noProof/>
                <w:webHidden/>
              </w:rPr>
              <w:instrText xml:space="preserve"> PAGEREF _Toc7251552 \h </w:instrText>
            </w:r>
            <w:r w:rsidR="008B5CBD" w:rsidRPr="001C64EB">
              <w:rPr>
                <w:noProof/>
                <w:webHidden/>
              </w:rPr>
            </w:r>
            <w:r w:rsidR="008B5CBD" w:rsidRPr="001C64EB">
              <w:rPr>
                <w:noProof/>
                <w:webHidden/>
              </w:rPr>
              <w:fldChar w:fldCharType="separate"/>
            </w:r>
            <w:r w:rsidR="00A21AA6" w:rsidRPr="001C64EB">
              <w:rPr>
                <w:noProof/>
                <w:webHidden/>
              </w:rPr>
              <w:t>2</w:t>
            </w:r>
            <w:r w:rsidR="008B5CBD" w:rsidRPr="001C64EB">
              <w:rPr>
                <w:noProof/>
                <w:webHidden/>
              </w:rPr>
              <w:fldChar w:fldCharType="end"/>
            </w:r>
          </w:hyperlink>
        </w:p>
        <w:p w14:paraId="7B394E74" w14:textId="0996C190" w:rsidR="008B5CBD" w:rsidRPr="001C64EB" w:rsidRDefault="0037437F">
          <w:pPr>
            <w:pStyle w:val="Spistreci1"/>
            <w:rPr>
              <w:rFonts w:asciiTheme="minorHAnsi" w:eastAsiaTheme="minorEastAsia" w:hAnsiTheme="minorHAnsi"/>
              <w:b w:val="0"/>
              <w:noProof/>
              <w:sz w:val="22"/>
              <w:lang w:eastAsia="pl-PL"/>
            </w:rPr>
          </w:pPr>
          <w:hyperlink w:anchor="_Toc7251553" w:history="1">
            <w:r w:rsidR="008B5CBD" w:rsidRPr="001C64EB">
              <w:rPr>
                <w:rStyle w:val="Hipercze"/>
                <w:noProof/>
                <w:color w:val="auto"/>
              </w:rPr>
              <w:t>2. Podstawa prawna</w:t>
            </w:r>
            <w:r w:rsidR="008B5CBD" w:rsidRPr="001C64EB">
              <w:rPr>
                <w:noProof/>
                <w:webHidden/>
              </w:rPr>
              <w:tab/>
            </w:r>
            <w:r w:rsidR="008B5CBD" w:rsidRPr="001C64EB">
              <w:rPr>
                <w:noProof/>
                <w:webHidden/>
              </w:rPr>
              <w:fldChar w:fldCharType="begin"/>
            </w:r>
            <w:r w:rsidR="008B5CBD" w:rsidRPr="001C64EB">
              <w:rPr>
                <w:noProof/>
                <w:webHidden/>
              </w:rPr>
              <w:instrText xml:space="preserve"> PAGEREF _Toc7251553 \h </w:instrText>
            </w:r>
            <w:r w:rsidR="008B5CBD" w:rsidRPr="001C64EB">
              <w:rPr>
                <w:noProof/>
                <w:webHidden/>
              </w:rPr>
            </w:r>
            <w:r w:rsidR="008B5CBD" w:rsidRPr="001C64EB">
              <w:rPr>
                <w:noProof/>
                <w:webHidden/>
              </w:rPr>
              <w:fldChar w:fldCharType="separate"/>
            </w:r>
            <w:r w:rsidR="00A21AA6" w:rsidRPr="001C64EB">
              <w:rPr>
                <w:noProof/>
                <w:webHidden/>
              </w:rPr>
              <w:t>3</w:t>
            </w:r>
            <w:r w:rsidR="008B5CBD" w:rsidRPr="001C64EB">
              <w:rPr>
                <w:noProof/>
                <w:webHidden/>
              </w:rPr>
              <w:fldChar w:fldCharType="end"/>
            </w:r>
          </w:hyperlink>
        </w:p>
        <w:p w14:paraId="6083A875" w14:textId="0E289DBE" w:rsidR="008B5CBD" w:rsidRPr="001C64EB" w:rsidRDefault="0037437F">
          <w:pPr>
            <w:pStyle w:val="Spistreci1"/>
            <w:rPr>
              <w:rFonts w:asciiTheme="minorHAnsi" w:eastAsiaTheme="minorEastAsia" w:hAnsiTheme="minorHAnsi"/>
              <w:b w:val="0"/>
              <w:noProof/>
              <w:sz w:val="22"/>
              <w:lang w:eastAsia="pl-PL"/>
            </w:rPr>
          </w:pPr>
          <w:hyperlink w:anchor="_Toc7251554" w:history="1">
            <w:r w:rsidR="008B5CBD" w:rsidRPr="001C64EB">
              <w:rPr>
                <w:rStyle w:val="Hipercze"/>
                <w:noProof/>
                <w:color w:val="auto"/>
              </w:rPr>
              <w:t>3. Cel i przedmiot projektu</w:t>
            </w:r>
            <w:r w:rsidR="008B5CBD" w:rsidRPr="001C64EB">
              <w:rPr>
                <w:noProof/>
                <w:webHidden/>
              </w:rPr>
              <w:tab/>
            </w:r>
            <w:r w:rsidR="008B5CBD" w:rsidRPr="001C64EB">
              <w:rPr>
                <w:noProof/>
                <w:webHidden/>
              </w:rPr>
              <w:fldChar w:fldCharType="begin"/>
            </w:r>
            <w:r w:rsidR="008B5CBD" w:rsidRPr="001C64EB">
              <w:rPr>
                <w:noProof/>
                <w:webHidden/>
              </w:rPr>
              <w:instrText xml:space="preserve"> PAGEREF _Toc7251554 \h </w:instrText>
            </w:r>
            <w:r w:rsidR="008B5CBD" w:rsidRPr="001C64EB">
              <w:rPr>
                <w:noProof/>
                <w:webHidden/>
              </w:rPr>
            </w:r>
            <w:r w:rsidR="008B5CBD" w:rsidRPr="001C64EB">
              <w:rPr>
                <w:noProof/>
                <w:webHidden/>
              </w:rPr>
              <w:fldChar w:fldCharType="separate"/>
            </w:r>
            <w:r w:rsidR="00A21AA6" w:rsidRPr="001C64EB">
              <w:rPr>
                <w:noProof/>
                <w:webHidden/>
              </w:rPr>
              <w:t>5</w:t>
            </w:r>
            <w:r w:rsidR="008B5CBD" w:rsidRPr="001C64EB">
              <w:rPr>
                <w:noProof/>
                <w:webHidden/>
              </w:rPr>
              <w:fldChar w:fldCharType="end"/>
            </w:r>
          </w:hyperlink>
        </w:p>
        <w:p w14:paraId="35E27522" w14:textId="7616AA0C" w:rsidR="008B5CBD" w:rsidRPr="001C64EB" w:rsidRDefault="0037437F">
          <w:pPr>
            <w:pStyle w:val="Spistreci1"/>
            <w:rPr>
              <w:rFonts w:asciiTheme="minorHAnsi" w:eastAsiaTheme="minorEastAsia" w:hAnsiTheme="minorHAnsi"/>
              <w:b w:val="0"/>
              <w:noProof/>
              <w:sz w:val="22"/>
              <w:lang w:eastAsia="pl-PL"/>
            </w:rPr>
          </w:pPr>
          <w:hyperlink w:anchor="_Toc7251555" w:history="1">
            <w:r w:rsidR="008B5CBD" w:rsidRPr="001C64EB">
              <w:rPr>
                <w:rStyle w:val="Hipercze"/>
                <w:noProof/>
                <w:color w:val="auto"/>
              </w:rPr>
              <w:t>4. Katalog Grantobiorców</w:t>
            </w:r>
            <w:r w:rsidR="008B5CBD" w:rsidRPr="001C64EB">
              <w:rPr>
                <w:noProof/>
                <w:webHidden/>
              </w:rPr>
              <w:tab/>
            </w:r>
            <w:r w:rsidR="008B5CBD" w:rsidRPr="001C64EB">
              <w:rPr>
                <w:noProof/>
                <w:webHidden/>
              </w:rPr>
              <w:fldChar w:fldCharType="begin"/>
            </w:r>
            <w:r w:rsidR="008B5CBD" w:rsidRPr="001C64EB">
              <w:rPr>
                <w:noProof/>
                <w:webHidden/>
              </w:rPr>
              <w:instrText xml:space="preserve"> PAGEREF _Toc7251555 \h </w:instrText>
            </w:r>
            <w:r w:rsidR="008B5CBD" w:rsidRPr="001C64EB">
              <w:rPr>
                <w:noProof/>
                <w:webHidden/>
              </w:rPr>
            </w:r>
            <w:r w:rsidR="008B5CBD" w:rsidRPr="001C64EB">
              <w:rPr>
                <w:noProof/>
                <w:webHidden/>
              </w:rPr>
              <w:fldChar w:fldCharType="separate"/>
            </w:r>
            <w:r w:rsidR="00A21AA6" w:rsidRPr="001C64EB">
              <w:rPr>
                <w:noProof/>
                <w:webHidden/>
              </w:rPr>
              <w:t>5</w:t>
            </w:r>
            <w:r w:rsidR="008B5CBD" w:rsidRPr="001C64EB">
              <w:rPr>
                <w:noProof/>
                <w:webHidden/>
              </w:rPr>
              <w:fldChar w:fldCharType="end"/>
            </w:r>
          </w:hyperlink>
        </w:p>
        <w:p w14:paraId="4BB47104" w14:textId="166964A1" w:rsidR="008B5CBD" w:rsidRPr="001C64EB" w:rsidRDefault="0037437F">
          <w:pPr>
            <w:pStyle w:val="Spistreci1"/>
            <w:rPr>
              <w:rFonts w:asciiTheme="minorHAnsi" w:eastAsiaTheme="minorEastAsia" w:hAnsiTheme="minorHAnsi"/>
              <w:b w:val="0"/>
              <w:noProof/>
              <w:sz w:val="22"/>
              <w:lang w:eastAsia="pl-PL"/>
            </w:rPr>
          </w:pPr>
          <w:hyperlink w:anchor="_Toc7251556" w:history="1">
            <w:r w:rsidR="008B5CBD" w:rsidRPr="001C64EB">
              <w:rPr>
                <w:rStyle w:val="Hipercze"/>
                <w:noProof/>
                <w:color w:val="auto"/>
              </w:rPr>
              <w:t>5. Informacja o przeznaczeniu grantów, wydatki kwalifikowane w projekcie</w:t>
            </w:r>
            <w:r w:rsidR="008B5CBD" w:rsidRPr="001C64EB">
              <w:rPr>
                <w:noProof/>
                <w:webHidden/>
              </w:rPr>
              <w:tab/>
            </w:r>
            <w:r w:rsidR="008B5CBD" w:rsidRPr="001C64EB">
              <w:rPr>
                <w:noProof/>
                <w:webHidden/>
              </w:rPr>
              <w:fldChar w:fldCharType="begin"/>
            </w:r>
            <w:r w:rsidR="008B5CBD" w:rsidRPr="001C64EB">
              <w:rPr>
                <w:noProof/>
                <w:webHidden/>
              </w:rPr>
              <w:instrText xml:space="preserve"> PAGEREF _Toc7251556 \h </w:instrText>
            </w:r>
            <w:r w:rsidR="008B5CBD" w:rsidRPr="001C64EB">
              <w:rPr>
                <w:noProof/>
                <w:webHidden/>
              </w:rPr>
            </w:r>
            <w:r w:rsidR="008B5CBD" w:rsidRPr="001C64EB">
              <w:rPr>
                <w:noProof/>
                <w:webHidden/>
              </w:rPr>
              <w:fldChar w:fldCharType="separate"/>
            </w:r>
            <w:r w:rsidR="00A21AA6" w:rsidRPr="001C64EB">
              <w:rPr>
                <w:noProof/>
                <w:webHidden/>
              </w:rPr>
              <w:t>6</w:t>
            </w:r>
            <w:r w:rsidR="008B5CBD" w:rsidRPr="001C64EB">
              <w:rPr>
                <w:noProof/>
                <w:webHidden/>
              </w:rPr>
              <w:fldChar w:fldCharType="end"/>
            </w:r>
          </w:hyperlink>
        </w:p>
        <w:p w14:paraId="64609439" w14:textId="292B7D40" w:rsidR="008B5CBD" w:rsidRPr="001C64EB" w:rsidRDefault="0037437F">
          <w:pPr>
            <w:pStyle w:val="Spistreci1"/>
            <w:rPr>
              <w:rFonts w:asciiTheme="minorHAnsi" w:eastAsiaTheme="minorEastAsia" w:hAnsiTheme="minorHAnsi"/>
              <w:b w:val="0"/>
              <w:noProof/>
              <w:sz w:val="22"/>
              <w:lang w:eastAsia="pl-PL"/>
            </w:rPr>
          </w:pPr>
          <w:hyperlink w:anchor="_Toc7251557" w:history="1">
            <w:r w:rsidR="008B5CBD" w:rsidRPr="001C64EB">
              <w:rPr>
                <w:rStyle w:val="Hipercze"/>
                <w:noProof/>
                <w:color w:val="auto"/>
              </w:rPr>
              <w:t>6. Maksymalny dopuszczalny poziom dofinansowania projektu lub maksymalna intensywność pomocy</w:t>
            </w:r>
            <w:r w:rsidR="008B5CBD" w:rsidRPr="001C64EB">
              <w:rPr>
                <w:noProof/>
                <w:webHidden/>
              </w:rPr>
              <w:tab/>
            </w:r>
            <w:r w:rsidR="008B5CBD" w:rsidRPr="001C64EB">
              <w:rPr>
                <w:noProof/>
                <w:webHidden/>
              </w:rPr>
              <w:fldChar w:fldCharType="begin"/>
            </w:r>
            <w:r w:rsidR="008B5CBD" w:rsidRPr="001C64EB">
              <w:rPr>
                <w:noProof/>
                <w:webHidden/>
              </w:rPr>
              <w:instrText xml:space="preserve"> PAGEREF _Toc7251557 \h </w:instrText>
            </w:r>
            <w:r w:rsidR="008B5CBD" w:rsidRPr="001C64EB">
              <w:rPr>
                <w:noProof/>
                <w:webHidden/>
              </w:rPr>
            </w:r>
            <w:r w:rsidR="008B5CBD" w:rsidRPr="001C64EB">
              <w:rPr>
                <w:noProof/>
                <w:webHidden/>
              </w:rPr>
              <w:fldChar w:fldCharType="separate"/>
            </w:r>
            <w:r w:rsidR="00A21AA6" w:rsidRPr="001C64EB">
              <w:rPr>
                <w:noProof/>
                <w:webHidden/>
              </w:rPr>
              <w:t>10</w:t>
            </w:r>
            <w:r w:rsidR="008B5CBD" w:rsidRPr="001C64EB">
              <w:rPr>
                <w:noProof/>
                <w:webHidden/>
              </w:rPr>
              <w:fldChar w:fldCharType="end"/>
            </w:r>
          </w:hyperlink>
        </w:p>
        <w:p w14:paraId="68232C84" w14:textId="05906271" w:rsidR="008B5CBD" w:rsidRPr="001C64EB" w:rsidRDefault="0037437F">
          <w:pPr>
            <w:pStyle w:val="Spistreci1"/>
            <w:rPr>
              <w:rFonts w:asciiTheme="minorHAnsi" w:eastAsiaTheme="minorEastAsia" w:hAnsiTheme="minorHAnsi"/>
              <w:b w:val="0"/>
              <w:noProof/>
              <w:sz w:val="22"/>
              <w:lang w:eastAsia="pl-PL"/>
            </w:rPr>
          </w:pPr>
          <w:hyperlink w:anchor="_Toc7251558" w:history="1">
            <w:r w:rsidR="008B5CBD" w:rsidRPr="001C64EB">
              <w:rPr>
                <w:rStyle w:val="Hipercze"/>
                <w:noProof/>
                <w:color w:val="auto"/>
              </w:rPr>
              <w:t>7. Ogłoszenie naboru – nabór otwarty</w:t>
            </w:r>
            <w:r w:rsidR="008B5CBD" w:rsidRPr="001C64EB">
              <w:rPr>
                <w:noProof/>
                <w:webHidden/>
              </w:rPr>
              <w:tab/>
            </w:r>
            <w:r w:rsidR="008B5CBD" w:rsidRPr="001C64EB">
              <w:rPr>
                <w:noProof/>
                <w:webHidden/>
              </w:rPr>
              <w:fldChar w:fldCharType="begin"/>
            </w:r>
            <w:r w:rsidR="008B5CBD" w:rsidRPr="001C64EB">
              <w:rPr>
                <w:noProof/>
                <w:webHidden/>
              </w:rPr>
              <w:instrText xml:space="preserve"> PAGEREF _Toc7251558 \h </w:instrText>
            </w:r>
            <w:r w:rsidR="008B5CBD" w:rsidRPr="001C64EB">
              <w:rPr>
                <w:noProof/>
                <w:webHidden/>
              </w:rPr>
            </w:r>
            <w:r w:rsidR="008B5CBD" w:rsidRPr="001C64EB">
              <w:rPr>
                <w:noProof/>
                <w:webHidden/>
              </w:rPr>
              <w:fldChar w:fldCharType="separate"/>
            </w:r>
            <w:r w:rsidR="00A21AA6" w:rsidRPr="001C64EB">
              <w:rPr>
                <w:noProof/>
                <w:webHidden/>
              </w:rPr>
              <w:t>11</w:t>
            </w:r>
            <w:r w:rsidR="008B5CBD" w:rsidRPr="001C64EB">
              <w:rPr>
                <w:noProof/>
                <w:webHidden/>
              </w:rPr>
              <w:fldChar w:fldCharType="end"/>
            </w:r>
          </w:hyperlink>
        </w:p>
        <w:p w14:paraId="286FADAE" w14:textId="44319899" w:rsidR="008B5CBD" w:rsidRPr="001C64EB" w:rsidRDefault="0037437F">
          <w:pPr>
            <w:pStyle w:val="Spistreci1"/>
            <w:rPr>
              <w:rFonts w:asciiTheme="minorHAnsi" w:eastAsiaTheme="minorEastAsia" w:hAnsiTheme="minorHAnsi"/>
              <w:b w:val="0"/>
              <w:noProof/>
              <w:sz w:val="22"/>
              <w:lang w:eastAsia="pl-PL"/>
            </w:rPr>
          </w:pPr>
          <w:hyperlink w:anchor="_Toc7251559" w:history="1">
            <w:r w:rsidR="008B5CBD" w:rsidRPr="001C64EB">
              <w:rPr>
                <w:rStyle w:val="Hipercze"/>
                <w:noProof/>
                <w:color w:val="auto"/>
              </w:rPr>
              <w:t>8. Tryb aplikowania o granty</w:t>
            </w:r>
            <w:r w:rsidR="008B5CBD" w:rsidRPr="001C64EB">
              <w:rPr>
                <w:noProof/>
                <w:webHidden/>
              </w:rPr>
              <w:tab/>
            </w:r>
            <w:r w:rsidR="008B5CBD" w:rsidRPr="001C64EB">
              <w:rPr>
                <w:noProof/>
                <w:webHidden/>
              </w:rPr>
              <w:fldChar w:fldCharType="begin"/>
            </w:r>
            <w:r w:rsidR="008B5CBD" w:rsidRPr="001C64EB">
              <w:rPr>
                <w:noProof/>
                <w:webHidden/>
              </w:rPr>
              <w:instrText xml:space="preserve"> PAGEREF _Toc7251559 \h </w:instrText>
            </w:r>
            <w:r w:rsidR="008B5CBD" w:rsidRPr="001C64EB">
              <w:rPr>
                <w:noProof/>
                <w:webHidden/>
              </w:rPr>
            </w:r>
            <w:r w:rsidR="008B5CBD" w:rsidRPr="001C64EB">
              <w:rPr>
                <w:noProof/>
                <w:webHidden/>
              </w:rPr>
              <w:fldChar w:fldCharType="separate"/>
            </w:r>
            <w:r w:rsidR="00A21AA6" w:rsidRPr="001C64EB">
              <w:rPr>
                <w:noProof/>
                <w:webHidden/>
              </w:rPr>
              <w:t>11</w:t>
            </w:r>
            <w:r w:rsidR="008B5CBD" w:rsidRPr="001C64EB">
              <w:rPr>
                <w:noProof/>
                <w:webHidden/>
              </w:rPr>
              <w:fldChar w:fldCharType="end"/>
            </w:r>
          </w:hyperlink>
        </w:p>
        <w:p w14:paraId="5F66AB00" w14:textId="0494A69C" w:rsidR="008B5CBD" w:rsidRPr="001C64EB" w:rsidRDefault="0037437F">
          <w:pPr>
            <w:pStyle w:val="Spistreci1"/>
            <w:rPr>
              <w:rFonts w:asciiTheme="minorHAnsi" w:eastAsiaTheme="minorEastAsia" w:hAnsiTheme="minorHAnsi"/>
              <w:b w:val="0"/>
              <w:noProof/>
              <w:sz w:val="22"/>
              <w:lang w:eastAsia="pl-PL"/>
            </w:rPr>
          </w:pPr>
          <w:hyperlink w:anchor="_Toc7251560" w:history="1">
            <w:r w:rsidR="008B5CBD" w:rsidRPr="001C64EB">
              <w:rPr>
                <w:rStyle w:val="Hipercze"/>
                <w:noProof/>
                <w:color w:val="auto"/>
              </w:rPr>
              <w:t>9. Tryb wypłacania grantów, w tym zakres wymaganej dokumentacji od Grantobiorcy oraz jej weryfikacja</w:t>
            </w:r>
            <w:r w:rsidR="008B5CBD" w:rsidRPr="001C64EB">
              <w:rPr>
                <w:noProof/>
                <w:webHidden/>
              </w:rPr>
              <w:tab/>
            </w:r>
            <w:r w:rsidR="008B5CBD" w:rsidRPr="001C64EB">
              <w:rPr>
                <w:noProof/>
                <w:webHidden/>
              </w:rPr>
              <w:fldChar w:fldCharType="begin"/>
            </w:r>
            <w:r w:rsidR="008B5CBD" w:rsidRPr="001C64EB">
              <w:rPr>
                <w:noProof/>
                <w:webHidden/>
              </w:rPr>
              <w:instrText xml:space="preserve"> PAGEREF _Toc7251560 \h </w:instrText>
            </w:r>
            <w:r w:rsidR="008B5CBD" w:rsidRPr="001C64EB">
              <w:rPr>
                <w:noProof/>
                <w:webHidden/>
              </w:rPr>
            </w:r>
            <w:r w:rsidR="008B5CBD" w:rsidRPr="001C64EB">
              <w:rPr>
                <w:noProof/>
                <w:webHidden/>
              </w:rPr>
              <w:fldChar w:fldCharType="separate"/>
            </w:r>
            <w:r w:rsidR="00A21AA6" w:rsidRPr="001C64EB">
              <w:rPr>
                <w:noProof/>
                <w:webHidden/>
              </w:rPr>
              <w:t>15</w:t>
            </w:r>
            <w:r w:rsidR="008B5CBD" w:rsidRPr="001C64EB">
              <w:rPr>
                <w:noProof/>
                <w:webHidden/>
              </w:rPr>
              <w:fldChar w:fldCharType="end"/>
            </w:r>
          </w:hyperlink>
        </w:p>
        <w:p w14:paraId="00BB0116" w14:textId="4AAD1732" w:rsidR="008B5CBD" w:rsidRPr="001C64EB" w:rsidRDefault="0037437F">
          <w:pPr>
            <w:pStyle w:val="Spistreci1"/>
            <w:rPr>
              <w:rFonts w:asciiTheme="minorHAnsi" w:eastAsiaTheme="minorEastAsia" w:hAnsiTheme="minorHAnsi"/>
              <w:b w:val="0"/>
              <w:noProof/>
              <w:sz w:val="22"/>
              <w:lang w:eastAsia="pl-PL"/>
            </w:rPr>
          </w:pPr>
          <w:hyperlink w:anchor="_Toc7251561" w:history="1">
            <w:r w:rsidR="008B5CBD" w:rsidRPr="001C64EB">
              <w:rPr>
                <w:rStyle w:val="Hipercze"/>
                <w:noProof/>
                <w:color w:val="auto"/>
              </w:rPr>
              <w:t>10. Wymogi w zakresie zabezpieczenia grantów</w:t>
            </w:r>
            <w:r w:rsidR="008B5CBD" w:rsidRPr="001C64EB">
              <w:rPr>
                <w:noProof/>
                <w:webHidden/>
              </w:rPr>
              <w:tab/>
            </w:r>
            <w:r w:rsidR="008B5CBD" w:rsidRPr="001C64EB">
              <w:rPr>
                <w:noProof/>
                <w:webHidden/>
              </w:rPr>
              <w:fldChar w:fldCharType="begin"/>
            </w:r>
            <w:r w:rsidR="008B5CBD" w:rsidRPr="001C64EB">
              <w:rPr>
                <w:noProof/>
                <w:webHidden/>
              </w:rPr>
              <w:instrText xml:space="preserve"> PAGEREF _Toc7251561 \h </w:instrText>
            </w:r>
            <w:r w:rsidR="008B5CBD" w:rsidRPr="001C64EB">
              <w:rPr>
                <w:noProof/>
                <w:webHidden/>
              </w:rPr>
            </w:r>
            <w:r w:rsidR="008B5CBD" w:rsidRPr="001C64EB">
              <w:rPr>
                <w:noProof/>
                <w:webHidden/>
              </w:rPr>
              <w:fldChar w:fldCharType="separate"/>
            </w:r>
            <w:r w:rsidR="00A21AA6" w:rsidRPr="001C64EB">
              <w:rPr>
                <w:noProof/>
                <w:webHidden/>
              </w:rPr>
              <w:t>17</w:t>
            </w:r>
            <w:r w:rsidR="008B5CBD" w:rsidRPr="001C64EB">
              <w:rPr>
                <w:noProof/>
                <w:webHidden/>
              </w:rPr>
              <w:fldChar w:fldCharType="end"/>
            </w:r>
          </w:hyperlink>
        </w:p>
        <w:p w14:paraId="2125538E" w14:textId="53146D06" w:rsidR="008B5CBD" w:rsidRPr="001C64EB" w:rsidRDefault="0037437F">
          <w:pPr>
            <w:pStyle w:val="Spistreci1"/>
            <w:rPr>
              <w:rFonts w:asciiTheme="minorHAnsi" w:eastAsiaTheme="minorEastAsia" w:hAnsiTheme="minorHAnsi"/>
              <w:b w:val="0"/>
              <w:noProof/>
              <w:sz w:val="22"/>
              <w:lang w:eastAsia="pl-PL"/>
            </w:rPr>
          </w:pPr>
          <w:hyperlink w:anchor="_Toc7251562" w:history="1">
            <w:r w:rsidR="008B5CBD" w:rsidRPr="001C64EB">
              <w:rPr>
                <w:rStyle w:val="Hipercze"/>
                <w:noProof/>
                <w:color w:val="auto"/>
              </w:rPr>
              <w:t>11. Zasady dotyczące monitorowania</w:t>
            </w:r>
            <w:r w:rsidR="008B5CBD" w:rsidRPr="001C64EB">
              <w:rPr>
                <w:noProof/>
                <w:webHidden/>
              </w:rPr>
              <w:tab/>
            </w:r>
            <w:r w:rsidR="008B5CBD" w:rsidRPr="001C64EB">
              <w:rPr>
                <w:noProof/>
                <w:webHidden/>
              </w:rPr>
              <w:fldChar w:fldCharType="begin"/>
            </w:r>
            <w:r w:rsidR="008B5CBD" w:rsidRPr="001C64EB">
              <w:rPr>
                <w:noProof/>
                <w:webHidden/>
              </w:rPr>
              <w:instrText xml:space="preserve"> PAGEREF _Toc7251562 \h </w:instrText>
            </w:r>
            <w:r w:rsidR="008B5CBD" w:rsidRPr="001C64EB">
              <w:rPr>
                <w:noProof/>
                <w:webHidden/>
              </w:rPr>
            </w:r>
            <w:r w:rsidR="008B5CBD" w:rsidRPr="001C64EB">
              <w:rPr>
                <w:noProof/>
                <w:webHidden/>
              </w:rPr>
              <w:fldChar w:fldCharType="separate"/>
            </w:r>
            <w:r w:rsidR="00A21AA6" w:rsidRPr="001C64EB">
              <w:rPr>
                <w:noProof/>
                <w:webHidden/>
              </w:rPr>
              <w:t>18</w:t>
            </w:r>
            <w:r w:rsidR="008B5CBD" w:rsidRPr="001C64EB">
              <w:rPr>
                <w:noProof/>
                <w:webHidden/>
              </w:rPr>
              <w:fldChar w:fldCharType="end"/>
            </w:r>
          </w:hyperlink>
        </w:p>
        <w:p w14:paraId="300328A8" w14:textId="067D7C6B" w:rsidR="008B5CBD" w:rsidRPr="001C64EB" w:rsidRDefault="0037437F">
          <w:pPr>
            <w:pStyle w:val="Spistreci1"/>
            <w:rPr>
              <w:rFonts w:asciiTheme="minorHAnsi" w:eastAsiaTheme="minorEastAsia" w:hAnsiTheme="minorHAnsi"/>
              <w:b w:val="0"/>
              <w:noProof/>
              <w:sz w:val="22"/>
              <w:lang w:eastAsia="pl-PL"/>
            </w:rPr>
          </w:pPr>
          <w:hyperlink w:anchor="_Toc7251563" w:history="1">
            <w:r w:rsidR="008B5CBD" w:rsidRPr="001C64EB">
              <w:rPr>
                <w:rStyle w:val="Hipercze"/>
                <w:noProof/>
                <w:color w:val="auto"/>
              </w:rPr>
              <w:t>12. Zasady dotyczące kontroli</w:t>
            </w:r>
            <w:r w:rsidR="008B5CBD" w:rsidRPr="001C64EB">
              <w:rPr>
                <w:noProof/>
                <w:webHidden/>
              </w:rPr>
              <w:tab/>
            </w:r>
            <w:r w:rsidR="008B5CBD" w:rsidRPr="001C64EB">
              <w:rPr>
                <w:noProof/>
                <w:webHidden/>
              </w:rPr>
              <w:fldChar w:fldCharType="begin"/>
            </w:r>
            <w:r w:rsidR="008B5CBD" w:rsidRPr="001C64EB">
              <w:rPr>
                <w:noProof/>
                <w:webHidden/>
              </w:rPr>
              <w:instrText xml:space="preserve"> PAGEREF _Toc7251563 \h </w:instrText>
            </w:r>
            <w:r w:rsidR="008B5CBD" w:rsidRPr="001C64EB">
              <w:rPr>
                <w:noProof/>
                <w:webHidden/>
              </w:rPr>
            </w:r>
            <w:r w:rsidR="008B5CBD" w:rsidRPr="001C64EB">
              <w:rPr>
                <w:noProof/>
                <w:webHidden/>
              </w:rPr>
              <w:fldChar w:fldCharType="separate"/>
            </w:r>
            <w:r w:rsidR="00A21AA6" w:rsidRPr="001C64EB">
              <w:rPr>
                <w:noProof/>
                <w:webHidden/>
              </w:rPr>
              <w:t>18</w:t>
            </w:r>
            <w:r w:rsidR="008B5CBD" w:rsidRPr="001C64EB">
              <w:rPr>
                <w:noProof/>
                <w:webHidden/>
              </w:rPr>
              <w:fldChar w:fldCharType="end"/>
            </w:r>
          </w:hyperlink>
        </w:p>
        <w:p w14:paraId="043B919C" w14:textId="35AEBF94" w:rsidR="008B5CBD" w:rsidRPr="001C64EB" w:rsidRDefault="0037437F">
          <w:pPr>
            <w:pStyle w:val="Spistreci1"/>
            <w:rPr>
              <w:rFonts w:asciiTheme="minorHAnsi" w:eastAsiaTheme="minorEastAsia" w:hAnsiTheme="minorHAnsi"/>
              <w:b w:val="0"/>
              <w:noProof/>
              <w:sz w:val="22"/>
              <w:lang w:eastAsia="pl-PL"/>
            </w:rPr>
          </w:pPr>
          <w:hyperlink w:anchor="_Toc7251564" w:history="1">
            <w:r w:rsidR="008B5CBD" w:rsidRPr="001C64EB">
              <w:rPr>
                <w:rStyle w:val="Hipercze"/>
                <w:noProof/>
                <w:color w:val="auto"/>
              </w:rPr>
              <w:t>13. Zasady dotyczące odzyskiwania grantów w przypadku ich wykorzystania niezgodnie z celami projektu grantowego</w:t>
            </w:r>
            <w:r w:rsidR="008B5CBD" w:rsidRPr="001C64EB">
              <w:rPr>
                <w:noProof/>
                <w:webHidden/>
              </w:rPr>
              <w:tab/>
            </w:r>
            <w:r w:rsidR="008B5CBD" w:rsidRPr="001C64EB">
              <w:rPr>
                <w:noProof/>
                <w:webHidden/>
              </w:rPr>
              <w:fldChar w:fldCharType="begin"/>
            </w:r>
            <w:r w:rsidR="008B5CBD" w:rsidRPr="001C64EB">
              <w:rPr>
                <w:noProof/>
                <w:webHidden/>
              </w:rPr>
              <w:instrText xml:space="preserve"> PAGEREF _Toc7251564 \h </w:instrText>
            </w:r>
            <w:r w:rsidR="008B5CBD" w:rsidRPr="001C64EB">
              <w:rPr>
                <w:noProof/>
                <w:webHidden/>
              </w:rPr>
            </w:r>
            <w:r w:rsidR="008B5CBD" w:rsidRPr="001C64EB">
              <w:rPr>
                <w:noProof/>
                <w:webHidden/>
              </w:rPr>
              <w:fldChar w:fldCharType="separate"/>
            </w:r>
            <w:r w:rsidR="00A21AA6" w:rsidRPr="001C64EB">
              <w:rPr>
                <w:noProof/>
                <w:webHidden/>
              </w:rPr>
              <w:t>19</w:t>
            </w:r>
            <w:r w:rsidR="008B5CBD" w:rsidRPr="001C64EB">
              <w:rPr>
                <w:noProof/>
                <w:webHidden/>
              </w:rPr>
              <w:fldChar w:fldCharType="end"/>
            </w:r>
          </w:hyperlink>
        </w:p>
        <w:p w14:paraId="7C4DBDF6" w14:textId="17DA3E57" w:rsidR="008B5CBD" w:rsidRPr="001C64EB" w:rsidRDefault="0037437F">
          <w:pPr>
            <w:pStyle w:val="Spistreci1"/>
            <w:rPr>
              <w:rFonts w:asciiTheme="minorHAnsi" w:eastAsiaTheme="minorEastAsia" w:hAnsiTheme="minorHAnsi"/>
              <w:b w:val="0"/>
              <w:noProof/>
              <w:sz w:val="22"/>
              <w:lang w:eastAsia="pl-PL"/>
            </w:rPr>
          </w:pPr>
          <w:hyperlink w:anchor="_Toc7251565" w:history="1">
            <w:r w:rsidR="008B5CBD" w:rsidRPr="001C64EB">
              <w:rPr>
                <w:rStyle w:val="Hipercze"/>
                <w:noProof/>
                <w:color w:val="auto"/>
              </w:rPr>
              <w:t>14. Załączniki</w:t>
            </w:r>
            <w:r w:rsidR="008B5CBD" w:rsidRPr="001C64EB">
              <w:rPr>
                <w:noProof/>
                <w:webHidden/>
              </w:rPr>
              <w:tab/>
            </w:r>
            <w:r w:rsidR="008B5CBD" w:rsidRPr="001C64EB">
              <w:rPr>
                <w:noProof/>
                <w:webHidden/>
              </w:rPr>
              <w:fldChar w:fldCharType="begin"/>
            </w:r>
            <w:r w:rsidR="008B5CBD" w:rsidRPr="001C64EB">
              <w:rPr>
                <w:noProof/>
                <w:webHidden/>
              </w:rPr>
              <w:instrText xml:space="preserve"> PAGEREF _Toc7251565 \h </w:instrText>
            </w:r>
            <w:r w:rsidR="008B5CBD" w:rsidRPr="001C64EB">
              <w:rPr>
                <w:noProof/>
                <w:webHidden/>
              </w:rPr>
            </w:r>
            <w:r w:rsidR="008B5CBD" w:rsidRPr="001C64EB">
              <w:rPr>
                <w:noProof/>
                <w:webHidden/>
              </w:rPr>
              <w:fldChar w:fldCharType="separate"/>
            </w:r>
            <w:r w:rsidR="00A21AA6" w:rsidRPr="001C64EB">
              <w:rPr>
                <w:noProof/>
                <w:webHidden/>
              </w:rPr>
              <w:t>20</w:t>
            </w:r>
            <w:r w:rsidR="008B5CBD" w:rsidRPr="001C64EB">
              <w:rPr>
                <w:noProof/>
                <w:webHidden/>
              </w:rPr>
              <w:fldChar w:fldCharType="end"/>
            </w:r>
          </w:hyperlink>
        </w:p>
        <w:p w14:paraId="35A91450" w14:textId="1D0C5C1A" w:rsidR="00325743" w:rsidRPr="001C64EB" w:rsidRDefault="00325743">
          <w:r w:rsidRPr="001C64EB">
            <w:rPr>
              <w:b/>
            </w:rPr>
            <w:fldChar w:fldCharType="end"/>
          </w:r>
        </w:p>
      </w:sdtContent>
    </w:sdt>
    <w:p w14:paraId="15142F5C" w14:textId="42698927" w:rsidR="00325743" w:rsidRPr="001C64EB" w:rsidRDefault="00325743" w:rsidP="00325743"/>
    <w:p w14:paraId="65BF87DD" w14:textId="7FCC1C4C" w:rsidR="00325743" w:rsidRPr="001C64EB" w:rsidRDefault="00325743" w:rsidP="00325743">
      <w:pPr>
        <w:rPr>
          <w:rFonts w:cs="Tahoma"/>
          <w:szCs w:val="18"/>
        </w:rPr>
      </w:pPr>
    </w:p>
    <w:p w14:paraId="1F294F19" w14:textId="2A964C00" w:rsidR="00325743" w:rsidRPr="001C64EB" w:rsidRDefault="00325743" w:rsidP="00443B98">
      <w:pPr>
        <w:pStyle w:val="Akapitzlist"/>
        <w:numPr>
          <w:ilvl w:val="0"/>
          <w:numId w:val="3"/>
        </w:numPr>
        <w:spacing w:after="160" w:line="259" w:lineRule="auto"/>
        <w:jc w:val="left"/>
        <w:rPr>
          <w:rFonts w:eastAsiaTheme="majorEastAsia" w:cstheme="majorBidi"/>
          <w:b/>
          <w:sz w:val="20"/>
          <w:szCs w:val="32"/>
        </w:rPr>
      </w:pPr>
      <w:r w:rsidRPr="001C64EB">
        <w:br w:type="page"/>
      </w:r>
    </w:p>
    <w:p w14:paraId="63B916E0" w14:textId="003A7EC8" w:rsidR="00792620" w:rsidRPr="001C64EB" w:rsidRDefault="00C60FA4" w:rsidP="00792620">
      <w:pPr>
        <w:pStyle w:val="Nagwek1"/>
        <w:rPr>
          <w:color w:val="auto"/>
        </w:rPr>
      </w:pPr>
      <w:bookmarkStart w:id="1" w:name="_Toc7251552"/>
      <w:r w:rsidRPr="001C64EB">
        <w:rPr>
          <w:color w:val="auto"/>
        </w:rPr>
        <w:lastRenderedPageBreak/>
        <w:t>1. </w:t>
      </w:r>
      <w:r w:rsidR="00792620" w:rsidRPr="001C64EB">
        <w:rPr>
          <w:color w:val="auto"/>
        </w:rPr>
        <w:t>Definicje</w:t>
      </w:r>
      <w:bookmarkEnd w:id="1"/>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2"/>
        <w:gridCol w:w="7256"/>
      </w:tblGrid>
      <w:tr w:rsidR="00A21AA6" w:rsidRPr="001C64EB" w14:paraId="1D752F1D" w14:textId="77777777" w:rsidTr="00792620">
        <w:trPr>
          <w:trHeight w:val="891"/>
        </w:trPr>
        <w:tc>
          <w:tcPr>
            <w:tcW w:w="2692" w:type="dxa"/>
            <w:vAlign w:val="center"/>
          </w:tcPr>
          <w:p w14:paraId="3DCB2D78" w14:textId="77777777" w:rsidR="00792620" w:rsidRPr="001C64EB" w:rsidRDefault="00792620" w:rsidP="00792620">
            <w:pPr>
              <w:spacing w:line="240" w:lineRule="auto"/>
              <w:ind w:left="229"/>
              <w:rPr>
                <w:rFonts w:eastAsia="Times New Roman" w:cs="Times New Roman"/>
                <w:b/>
                <w:bCs/>
              </w:rPr>
            </w:pPr>
            <w:r w:rsidRPr="001C64EB">
              <w:rPr>
                <w:rFonts w:eastAsia="Times New Roman" w:cs="Times New Roman"/>
                <w:b/>
                <w:bCs/>
              </w:rPr>
              <w:t>Projekt grantowy</w:t>
            </w:r>
            <w:r w:rsidRPr="001C64EB">
              <w:rPr>
                <w:rFonts w:eastAsia="Times New Roman" w:cs="Times New Roman"/>
                <w:bCs/>
              </w:rPr>
              <w:t xml:space="preserve">  </w:t>
            </w:r>
          </w:p>
        </w:tc>
        <w:tc>
          <w:tcPr>
            <w:tcW w:w="7256" w:type="dxa"/>
            <w:vAlign w:val="center"/>
          </w:tcPr>
          <w:p w14:paraId="369C18EE" w14:textId="77777777" w:rsidR="00792620" w:rsidRPr="001C64EB" w:rsidRDefault="00792620" w:rsidP="00792620">
            <w:pPr>
              <w:spacing w:line="240" w:lineRule="auto"/>
              <w:ind w:left="229"/>
              <w:rPr>
                <w:rFonts w:eastAsia="Times New Roman" w:cs="Times New Roman"/>
                <w:b/>
                <w:bCs/>
              </w:rPr>
            </w:pPr>
            <w:r w:rsidRPr="001C64EB">
              <w:rPr>
                <w:rFonts w:eastAsia="Times New Roman" w:cs="Times New Roman"/>
                <w:bCs/>
              </w:rPr>
              <w:t>projekt, którego beneficjent udziela grantów na r</w:t>
            </w:r>
            <w:r w:rsidRPr="001C64EB">
              <w:t xml:space="preserve">ealizację zadań służących osiągnięciu celu tego projektu przez </w:t>
            </w:r>
            <w:proofErr w:type="spellStart"/>
            <w:r w:rsidRPr="001C64EB">
              <w:t>grantobiorców</w:t>
            </w:r>
            <w:proofErr w:type="spellEnd"/>
            <w:r w:rsidRPr="001C64EB">
              <w:rPr>
                <w:rStyle w:val="Odwoanieprzypisudolnego"/>
              </w:rPr>
              <w:footnoteReference w:id="1"/>
            </w:r>
            <w:r w:rsidRPr="001C64EB">
              <w:t>;</w:t>
            </w:r>
          </w:p>
        </w:tc>
      </w:tr>
      <w:tr w:rsidR="00A21AA6" w:rsidRPr="001C64EB" w14:paraId="0B936D6C" w14:textId="77777777" w:rsidTr="00792620">
        <w:trPr>
          <w:trHeight w:val="1239"/>
        </w:trPr>
        <w:tc>
          <w:tcPr>
            <w:tcW w:w="2692" w:type="dxa"/>
            <w:vAlign w:val="center"/>
          </w:tcPr>
          <w:p w14:paraId="339D3E68" w14:textId="77777777" w:rsidR="00792620" w:rsidRPr="001C64EB" w:rsidRDefault="00792620" w:rsidP="00792620">
            <w:pPr>
              <w:spacing w:line="240" w:lineRule="auto"/>
              <w:ind w:left="229"/>
              <w:rPr>
                <w:rFonts w:eastAsia="Times New Roman" w:cs="Times New Roman"/>
                <w:b/>
                <w:bCs/>
              </w:rPr>
            </w:pPr>
            <w:r w:rsidRPr="001C64EB">
              <w:rPr>
                <w:b/>
              </w:rPr>
              <w:t>Grant</w:t>
            </w:r>
            <w:r w:rsidRPr="001C64EB">
              <w:t xml:space="preserve"> </w:t>
            </w:r>
          </w:p>
        </w:tc>
        <w:tc>
          <w:tcPr>
            <w:tcW w:w="7256" w:type="dxa"/>
            <w:vAlign w:val="center"/>
          </w:tcPr>
          <w:p w14:paraId="326FF193" w14:textId="77777777" w:rsidR="00792620" w:rsidRPr="001C64EB" w:rsidRDefault="00792620" w:rsidP="00792620">
            <w:pPr>
              <w:spacing w:line="240" w:lineRule="auto"/>
              <w:ind w:left="229"/>
              <w:rPr>
                <w:rFonts w:eastAsia="Times New Roman" w:cs="Times New Roman"/>
                <w:b/>
                <w:bCs/>
              </w:rPr>
            </w:pPr>
            <w:r w:rsidRPr="001C64EB">
              <w:rPr>
                <w:rFonts w:eastAsia="Times New Roman" w:cs="Times New Roman"/>
              </w:rPr>
              <w:t xml:space="preserve">środki finansowe Regionalnego Programu Operacyjnego Województwa Dolnośląskiego 2014-2020, które </w:t>
            </w:r>
            <w:proofErr w:type="spellStart"/>
            <w:r w:rsidRPr="001C64EB">
              <w:rPr>
                <w:rFonts w:eastAsia="Times New Roman" w:cs="Times New Roman"/>
              </w:rPr>
              <w:t>Grantodawca</w:t>
            </w:r>
            <w:proofErr w:type="spellEnd"/>
            <w:r w:rsidRPr="001C64EB">
              <w:rPr>
                <w:rFonts w:eastAsia="Times New Roman" w:cs="Times New Roman"/>
              </w:rPr>
              <w:t xml:space="preserve"> na podstawie umowy powierzył </w:t>
            </w:r>
            <w:proofErr w:type="spellStart"/>
            <w:r w:rsidRPr="001C64EB">
              <w:rPr>
                <w:rFonts w:eastAsia="Times New Roman" w:cs="Times New Roman"/>
              </w:rPr>
              <w:t>Grantobiorcy</w:t>
            </w:r>
            <w:proofErr w:type="spellEnd"/>
            <w:r w:rsidRPr="001C64EB">
              <w:rPr>
                <w:rFonts w:eastAsia="Times New Roman" w:cs="Times New Roman"/>
              </w:rPr>
              <w:t xml:space="preserve"> na realizację zadań</w:t>
            </w:r>
            <w:r w:rsidRPr="001C64EB">
              <w:t xml:space="preserve"> służących osiągnięciu celu projektu grantowego;</w:t>
            </w:r>
          </w:p>
        </w:tc>
      </w:tr>
      <w:tr w:rsidR="00A21AA6" w:rsidRPr="001C64EB" w14:paraId="5F016094" w14:textId="77777777" w:rsidTr="00792620">
        <w:trPr>
          <w:trHeight w:val="1216"/>
        </w:trPr>
        <w:tc>
          <w:tcPr>
            <w:tcW w:w="2692" w:type="dxa"/>
            <w:vAlign w:val="center"/>
          </w:tcPr>
          <w:p w14:paraId="31D9739E" w14:textId="77777777" w:rsidR="00792620" w:rsidRPr="001C64EB" w:rsidRDefault="00792620" w:rsidP="00792620">
            <w:pPr>
              <w:spacing w:line="240" w:lineRule="auto"/>
              <w:ind w:left="229"/>
              <w:rPr>
                <w:b/>
              </w:rPr>
            </w:pPr>
            <w:proofErr w:type="spellStart"/>
            <w:r w:rsidRPr="001C64EB">
              <w:rPr>
                <w:rFonts w:eastAsia="Times New Roman" w:cs="Times New Roman"/>
                <w:b/>
                <w:bCs/>
              </w:rPr>
              <w:t>Grantodawca</w:t>
            </w:r>
            <w:proofErr w:type="spellEnd"/>
            <w:r w:rsidRPr="001C64EB">
              <w:rPr>
                <w:rFonts w:eastAsia="Times New Roman" w:cs="Times New Roman"/>
                <w:bCs/>
              </w:rPr>
              <w:t xml:space="preserve">  </w:t>
            </w:r>
          </w:p>
        </w:tc>
        <w:tc>
          <w:tcPr>
            <w:tcW w:w="7256" w:type="dxa"/>
            <w:vAlign w:val="center"/>
          </w:tcPr>
          <w:p w14:paraId="7E3554C1" w14:textId="77777777" w:rsidR="00792620" w:rsidRPr="001C64EB" w:rsidRDefault="00792620" w:rsidP="00792620">
            <w:pPr>
              <w:spacing w:line="240" w:lineRule="auto"/>
              <w:ind w:left="229"/>
              <w:rPr>
                <w:rFonts w:eastAsia="Times New Roman" w:cs="Times New Roman"/>
                <w:b/>
                <w:bCs/>
              </w:rPr>
            </w:pPr>
            <w:r w:rsidRPr="001C64EB">
              <w:rPr>
                <w:rFonts w:eastAsia="Times New Roman" w:cs="Times New Roman"/>
                <w:bCs/>
              </w:rPr>
              <w:t>beneficjent</w:t>
            </w:r>
            <w:r w:rsidRPr="001C64EB">
              <w:rPr>
                <w:rStyle w:val="Odwoanieprzypisudolnego"/>
                <w:rFonts w:eastAsia="Times New Roman" w:cs="Times New Roman"/>
                <w:bCs/>
              </w:rPr>
              <w:footnoteReference w:id="2"/>
            </w:r>
            <w:r w:rsidRPr="001C64EB">
              <w:rPr>
                <w:rFonts w:eastAsia="Times New Roman" w:cs="Times New Roman"/>
                <w:bCs/>
              </w:rPr>
              <w:t xml:space="preserve"> udzielający grantów n</w:t>
            </w:r>
            <w:r w:rsidRPr="001C64EB">
              <w:t xml:space="preserve">a realizację zadań służących osiągnięciu celu projektu grantowego przez </w:t>
            </w:r>
            <w:proofErr w:type="spellStart"/>
            <w:r w:rsidRPr="001C64EB">
              <w:t>grantobiorców</w:t>
            </w:r>
            <w:proofErr w:type="spellEnd"/>
            <w:r w:rsidRPr="001C64EB">
              <w:rPr>
                <w:rFonts w:cs="Calibri"/>
                <w:bCs/>
              </w:rPr>
              <w:t xml:space="preserve">. </w:t>
            </w:r>
            <w:proofErr w:type="spellStart"/>
            <w:r w:rsidRPr="001C64EB">
              <w:t>Grantodawca</w:t>
            </w:r>
            <w:proofErr w:type="spellEnd"/>
            <w:r w:rsidRPr="001C64EB">
              <w:t xml:space="preserve"> nie może być jednocześnie </w:t>
            </w:r>
            <w:proofErr w:type="spellStart"/>
            <w:r w:rsidRPr="001C64EB">
              <w:t>Grantobiorcą</w:t>
            </w:r>
            <w:proofErr w:type="spellEnd"/>
            <w:r w:rsidRPr="001C64EB">
              <w:t>.</w:t>
            </w:r>
          </w:p>
        </w:tc>
      </w:tr>
      <w:tr w:rsidR="00A21AA6" w:rsidRPr="001C64EB" w14:paraId="55AE72A0" w14:textId="77777777" w:rsidTr="00792620">
        <w:trPr>
          <w:trHeight w:val="1620"/>
        </w:trPr>
        <w:tc>
          <w:tcPr>
            <w:tcW w:w="2692" w:type="dxa"/>
            <w:vAlign w:val="center"/>
          </w:tcPr>
          <w:p w14:paraId="52E30055" w14:textId="77777777" w:rsidR="00792620" w:rsidRPr="001C64EB" w:rsidRDefault="00792620" w:rsidP="00792620">
            <w:pPr>
              <w:spacing w:line="240" w:lineRule="auto"/>
              <w:ind w:left="229"/>
              <w:rPr>
                <w:rFonts w:eastAsia="Times New Roman" w:cs="Times New Roman"/>
                <w:b/>
                <w:bCs/>
              </w:rPr>
            </w:pPr>
            <w:proofErr w:type="spellStart"/>
            <w:r w:rsidRPr="001C64EB">
              <w:rPr>
                <w:rFonts w:eastAsia="Times New Roman" w:cs="Times New Roman"/>
                <w:b/>
                <w:bCs/>
              </w:rPr>
              <w:t>Grantobiorca</w:t>
            </w:r>
            <w:proofErr w:type="spellEnd"/>
          </w:p>
        </w:tc>
        <w:tc>
          <w:tcPr>
            <w:tcW w:w="7256" w:type="dxa"/>
            <w:vAlign w:val="center"/>
          </w:tcPr>
          <w:p w14:paraId="69908C4D" w14:textId="77777777" w:rsidR="00792620" w:rsidRPr="001C64EB" w:rsidRDefault="00792620" w:rsidP="00792620">
            <w:pPr>
              <w:spacing w:line="240" w:lineRule="auto"/>
              <w:ind w:left="225"/>
              <w:rPr>
                <w:rFonts w:eastAsia="Times New Roman" w:cs="Times New Roman"/>
                <w:szCs w:val="24"/>
              </w:rPr>
            </w:pPr>
            <w:r w:rsidRPr="001C64EB">
              <w:rPr>
                <w:rFonts w:eastAsia="Times New Roman" w:cs="Times New Roman"/>
                <w:szCs w:val="24"/>
              </w:rPr>
              <w:t>podmiot publiczny albo prywatny, inny niż beneficjent projektu grantowego, wybrany w drodze otwartego naboru ogłoszonego przez beneficjenta projektu grantowego w ramach realizacji projektu grantowego.</w:t>
            </w:r>
          </w:p>
          <w:p w14:paraId="6963547D" w14:textId="74340A1C" w:rsidR="00792620" w:rsidRPr="001C64EB" w:rsidRDefault="00792620" w:rsidP="00792620">
            <w:pPr>
              <w:spacing w:line="240" w:lineRule="auto"/>
              <w:ind w:left="225"/>
              <w:rPr>
                <w:rFonts w:eastAsia="Times New Roman" w:cs="Times New Roman"/>
                <w:szCs w:val="24"/>
              </w:rPr>
            </w:pPr>
            <w:proofErr w:type="spellStart"/>
            <w:r w:rsidRPr="001C64EB">
              <w:rPr>
                <w:rFonts w:eastAsia="Times New Roman" w:cs="Times New Roman"/>
                <w:szCs w:val="24"/>
              </w:rPr>
              <w:t>Grantobiorca</w:t>
            </w:r>
            <w:proofErr w:type="spellEnd"/>
            <w:r w:rsidRPr="001C64EB">
              <w:rPr>
                <w:rFonts w:eastAsia="Times New Roman" w:cs="Times New Roman"/>
                <w:szCs w:val="24"/>
              </w:rPr>
              <w:t xml:space="preserve"> nie może być ponadto podmiotem powiązanym z beneficjentem / </w:t>
            </w:r>
            <w:proofErr w:type="spellStart"/>
            <w:r w:rsidR="001B1C81" w:rsidRPr="001C64EB">
              <w:rPr>
                <w:rFonts w:eastAsia="Times New Roman" w:cs="Times New Roman"/>
                <w:szCs w:val="24"/>
              </w:rPr>
              <w:t>Grantodawcą</w:t>
            </w:r>
            <w:proofErr w:type="spellEnd"/>
            <w:r w:rsidRPr="001C64EB">
              <w:rPr>
                <w:rFonts w:eastAsia="Times New Roman" w:cs="Times New Roman"/>
                <w:szCs w:val="24"/>
              </w:rPr>
              <w:t xml:space="preserve"> osobowo lub kapitałowo.</w:t>
            </w:r>
          </w:p>
          <w:p w14:paraId="22AD3C8B" w14:textId="77777777" w:rsidR="00792620" w:rsidRPr="001C64EB" w:rsidRDefault="00792620" w:rsidP="00792620">
            <w:pPr>
              <w:spacing w:line="240" w:lineRule="auto"/>
              <w:ind w:left="225"/>
              <w:rPr>
                <w:rFonts w:eastAsia="Times New Roman" w:cs="Times New Roman"/>
                <w:szCs w:val="24"/>
              </w:rPr>
            </w:pPr>
            <w:proofErr w:type="spellStart"/>
            <w:r w:rsidRPr="001C64EB">
              <w:rPr>
                <w:rFonts w:eastAsia="Times New Roman" w:cs="Times New Roman"/>
                <w:szCs w:val="24"/>
              </w:rPr>
              <w:t>Grantobiorcą</w:t>
            </w:r>
            <w:proofErr w:type="spellEnd"/>
            <w:r w:rsidRPr="001C64EB">
              <w:rPr>
                <w:rFonts w:eastAsia="Times New Roman" w:cs="Times New Roman"/>
                <w:szCs w:val="24"/>
              </w:rPr>
              <w:t xml:space="preserve"> nie może być podmiot wykluczony z możliwości otrzymania dofinansowania.</w:t>
            </w:r>
          </w:p>
          <w:p w14:paraId="6AF86102" w14:textId="77777777" w:rsidR="00792620" w:rsidRPr="001C64EB" w:rsidRDefault="00792620" w:rsidP="00792620">
            <w:pPr>
              <w:spacing w:line="240" w:lineRule="auto"/>
              <w:ind w:left="229"/>
              <w:rPr>
                <w:rFonts w:eastAsia="Times New Roman" w:cs="Times New Roman"/>
                <w:b/>
                <w:bCs/>
              </w:rPr>
            </w:pPr>
          </w:p>
        </w:tc>
      </w:tr>
      <w:tr w:rsidR="00A21AA6" w:rsidRPr="001C64EB" w14:paraId="33CC6E30" w14:textId="77777777" w:rsidTr="00792620">
        <w:trPr>
          <w:trHeight w:val="993"/>
        </w:trPr>
        <w:tc>
          <w:tcPr>
            <w:tcW w:w="2692" w:type="dxa"/>
            <w:vAlign w:val="center"/>
          </w:tcPr>
          <w:p w14:paraId="2070495B" w14:textId="77777777" w:rsidR="00792620" w:rsidRPr="001C64EB" w:rsidRDefault="00792620" w:rsidP="00792620">
            <w:pPr>
              <w:spacing w:line="240" w:lineRule="auto"/>
              <w:ind w:left="229"/>
              <w:rPr>
                <w:rFonts w:eastAsia="Times New Roman" w:cs="Times New Roman"/>
                <w:b/>
                <w:bCs/>
              </w:rPr>
            </w:pPr>
            <w:r w:rsidRPr="001C64EB">
              <w:rPr>
                <w:rFonts w:eastAsia="Times New Roman" w:cs="Times New Roman"/>
                <w:b/>
              </w:rPr>
              <w:t>IZ RPO WD</w:t>
            </w:r>
          </w:p>
        </w:tc>
        <w:tc>
          <w:tcPr>
            <w:tcW w:w="7256" w:type="dxa"/>
            <w:vAlign w:val="center"/>
          </w:tcPr>
          <w:p w14:paraId="0EBAEAC0" w14:textId="77777777" w:rsidR="00792620" w:rsidRPr="001C64EB" w:rsidRDefault="00792620" w:rsidP="00792620">
            <w:pPr>
              <w:spacing w:line="240" w:lineRule="auto"/>
              <w:ind w:left="229"/>
              <w:rPr>
                <w:rFonts w:eastAsia="Times New Roman" w:cs="Times New Roman"/>
                <w:b/>
                <w:bCs/>
              </w:rPr>
            </w:pPr>
            <w:r w:rsidRPr="001C64EB">
              <w:rPr>
                <w:rFonts w:ascii="Calibri" w:hAnsi="Calibri"/>
                <w:iCs/>
              </w:rPr>
              <w:t>należy przez to rozumieć Zarząd Województwa Dolnośląskiego pełniący funkcję Instytucji Zarządzającej Regionalnym Programem Operacyjnym Województwa Dolnośląskiego 2014-2020;</w:t>
            </w:r>
          </w:p>
        </w:tc>
      </w:tr>
      <w:tr w:rsidR="00A21AA6" w:rsidRPr="001C64EB" w14:paraId="24607074" w14:textId="77777777" w:rsidTr="00792620">
        <w:trPr>
          <w:trHeight w:val="725"/>
        </w:trPr>
        <w:tc>
          <w:tcPr>
            <w:tcW w:w="2692" w:type="dxa"/>
            <w:vAlign w:val="center"/>
          </w:tcPr>
          <w:p w14:paraId="44AC083F" w14:textId="77777777" w:rsidR="00792620" w:rsidRPr="001C64EB" w:rsidRDefault="00792620" w:rsidP="00792620">
            <w:pPr>
              <w:spacing w:line="240" w:lineRule="auto"/>
              <w:ind w:left="229"/>
              <w:rPr>
                <w:rFonts w:eastAsia="Times New Roman" w:cs="Times New Roman"/>
                <w:b/>
                <w:bCs/>
              </w:rPr>
            </w:pPr>
            <w:r w:rsidRPr="001C64EB">
              <w:rPr>
                <w:rFonts w:eastAsia="Times New Roman" w:cs="Times New Roman"/>
                <w:b/>
              </w:rPr>
              <w:t>DIP</w:t>
            </w:r>
          </w:p>
        </w:tc>
        <w:tc>
          <w:tcPr>
            <w:tcW w:w="7256" w:type="dxa"/>
            <w:vAlign w:val="center"/>
          </w:tcPr>
          <w:p w14:paraId="16C52671" w14:textId="77777777" w:rsidR="00792620" w:rsidRPr="001C64EB" w:rsidRDefault="00792620" w:rsidP="00792620">
            <w:pPr>
              <w:spacing w:line="240" w:lineRule="auto"/>
              <w:ind w:left="229"/>
              <w:rPr>
                <w:rFonts w:eastAsia="Times New Roman" w:cs="Times New Roman"/>
                <w:bCs/>
              </w:rPr>
            </w:pPr>
            <w:r w:rsidRPr="001C64EB">
              <w:rPr>
                <w:rFonts w:ascii="Calibri" w:hAnsi="Calibri" w:cs="Calibri"/>
              </w:rPr>
              <w:t xml:space="preserve"> </w:t>
            </w:r>
            <w:r w:rsidRPr="001C64EB">
              <w:rPr>
                <w:rFonts w:ascii="Calibri" w:hAnsi="Calibri" w:cs="Arial"/>
              </w:rPr>
              <w:t>Dolnośląska Instytucja Pośrednicząca,</w:t>
            </w:r>
            <w:r w:rsidRPr="001C64EB">
              <w:t xml:space="preserve"> której powierzono w</w:t>
            </w:r>
            <w:r w:rsidRPr="001C64EB">
              <w:rPr>
                <w:rFonts w:ascii="Calibri" w:hAnsi="Calibri" w:cs="Arial"/>
              </w:rPr>
              <w:t>drażanie Działania 3.3</w:t>
            </w:r>
            <w:r w:rsidRPr="001C64EB">
              <w:rPr>
                <w:rFonts w:ascii="Calibri" w:hAnsi="Calibri"/>
              </w:rPr>
              <w:t xml:space="preserve"> </w:t>
            </w:r>
            <w:r w:rsidRPr="001C64EB">
              <w:rPr>
                <w:rFonts w:ascii="Calibri" w:hAnsi="Calibri" w:cs="Arial"/>
              </w:rPr>
              <w:t xml:space="preserve">RPO WD będąca </w:t>
            </w:r>
            <w:r w:rsidRPr="001C64EB">
              <w:rPr>
                <w:rFonts w:eastAsia="Times New Roman" w:cs="Times New Roman"/>
                <w:bCs/>
              </w:rPr>
              <w:t>Instytucją Ogłaszającą Konkurs</w:t>
            </w:r>
          </w:p>
        </w:tc>
      </w:tr>
      <w:tr w:rsidR="00A21AA6" w:rsidRPr="001C64EB" w14:paraId="73F19608" w14:textId="77777777" w:rsidTr="00792620">
        <w:trPr>
          <w:trHeight w:val="725"/>
        </w:trPr>
        <w:tc>
          <w:tcPr>
            <w:tcW w:w="2692" w:type="dxa"/>
            <w:vAlign w:val="center"/>
          </w:tcPr>
          <w:p w14:paraId="22C6DCD9" w14:textId="77777777" w:rsidR="00792620" w:rsidRPr="001C64EB" w:rsidRDefault="00792620" w:rsidP="00792620">
            <w:pPr>
              <w:spacing w:line="240" w:lineRule="auto"/>
              <w:ind w:left="229"/>
              <w:rPr>
                <w:rFonts w:eastAsia="Times New Roman" w:cs="Times New Roman"/>
                <w:b/>
              </w:rPr>
            </w:pPr>
            <w:r w:rsidRPr="001C64EB">
              <w:rPr>
                <w:rFonts w:eastAsia="Times New Roman" w:cs="Times New Roman"/>
                <w:b/>
              </w:rPr>
              <w:t>Wysokoemisyjne źródło ciepła</w:t>
            </w:r>
          </w:p>
        </w:tc>
        <w:tc>
          <w:tcPr>
            <w:tcW w:w="7256" w:type="dxa"/>
            <w:vAlign w:val="center"/>
          </w:tcPr>
          <w:p w14:paraId="421327FB" w14:textId="77777777" w:rsidR="00792620" w:rsidRPr="001C64EB" w:rsidRDefault="00792620" w:rsidP="00792620">
            <w:pPr>
              <w:snapToGrid w:val="0"/>
              <w:spacing w:line="240" w:lineRule="auto"/>
              <w:ind w:left="235"/>
              <w:rPr>
                <w:rFonts w:cs="Arial"/>
              </w:rPr>
            </w:pPr>
            <w:r w:rsidRPr="001C64EB">
              <w:rPr>
                <w:rFonts w:cs="Arial"/>
              </w:rPr>
              <w:t xml:space="preserve">źródło ciepła nie spełniające norm emisyjnych </w:t>
            </w:r>
            <w:proofErr w:type="spellStart"/>
            <w:r w:rsidRPr="001C64EB">
              <w:rPr>
                <w:rFonts w:cs="Arial"/>
              </w:rPr>
              <w:t>ekoprojektu</w:t>
            </w:r>
            <w:proofErr w:type="spellEnd"/>
            <w:r w:rsidRPr="001C64EB">
              <w:rPr>
                <w:rStyle w:val="Zakotwiczenieprzypisudolnego"/>
                <w:rFonts w:cs="Arial"/>
              </w:rPr>
              <w:footnoteReference w:id="3"/>
            </w:r>
            <w:r w:rsidRPr="001C64EB">
              <w:rPr>
                <w:rFonts w:cs="Arial"/>
              </w:rPr>
              <w:t xml:space="preserve"> obowiązujących od roku 2020 lub </w:t>
            </w:r>
            <w:r w:rsidRPr="001C64EB">
              <w:t>wymagań klasy 5</w:t>
            </w:r>
            <w:r w:rsidRPr="001C64EB">
              <w:rPr>
                <w:rStyle w:val="Zakotwiczenieprzypisudolnego"/>
              </w:rPr>
              <w:footnoteReference w:id="4"/>
            </w:r>
            <w:r w:rsidRPr="001C64EB">
              <w:t xml:space="preserve">, </w:t>
            </w:r>
            <w:r w:rsidRPr="001C64EB">
              <w:rPr>
                <w:rFonts w:cs="Arial"/>
              </w:rPr>
              <w:t>emitujące do atmosfery CO</w:t>
            </w:r>
            <w:r w:rsidRPr="001C64EB">
              <w:rPr>
                <w:rFonts w:cs="Arial"/>
                <w:vertAlign w:val="subscript"/>
              </w:rPr>
              <w:t>2</w:t>
            </w:r>
            <w:r w:rsidRPr="001C64EB">
              <w:rPr>
                <w:rFonts w:cs="Arial"/>
              </w:rPr>
              <w:t xml:space="preserve"> oraz inne zanieczyszczenia, takie jak pyły zawieszone PM 10 i PM 2,5 i inne związki toksyczne powstające w wyniku spalania paliw. </w:t>
            </w:r>
          </w:p>
        </w:tc>
      </w:tr>
      <w:tr w:rsidR="00A21AA6" w:rsidRPr="001C64EB" w14:paraId="23BFB505" w14:textId="77777777" w:rsidTr="00792620">
        <w:trPr>
          <w:trHeight w:val="1278"/>
        </w:trPr>
        <w:tc>
          <w:tcPr>
            <w:tcW w:w="2692" w:type="dxa"/>
            <w:vAlign w:val="center"/>
          </w:tcPr>
          <w:p w14:paraId="1615A68C" w14:textId="77777777" w:rsidR="00792620" w:rsidRPr="001C64EB" w:rsidRDefault="00792620" w:rsidP="00792620">
            <w:pPr>
              <w:spacing w:line="240" w:lineRule="auto"/>
              <w:ind w:left="229"/>
              <w:rPr>
                <w:rFonts w:cs="Arial"/>
                <w:b/>
              </w:rPr>
            </w:pPr>
            <w:r w:rsidRPr="001C64EB">
              <w:rPr>
                <w:rFonts w:cs="Arial"/>
                <w:b/>
              </w:rPr>
              <w:t>Budynek mieszkalny jednorodzinny</w:t>
            </w:r>
          </w:p>
        </w:tc>
        <w:tc>
          <w:tcPr>
            <w:tcW w:w="7256" w:type="dxa"/>
            <w:vAlign w:val="center"/>
          </w:tcPr>
          <w:p w14:paraId="57A3033A" w14:textId="77777777" w:rsidR="00792620" w:rsidRPr="001C64EB" w:rsidRDefault="00792620" w:rsidP="00792620">
            <w:pPr>
              <w:spacing w:line="240" w:lineRule="auto"/>
              <w:ind w:left="229"/>
              <w:rPr>
                <w:rFonts w:cs="Arial"/>
              </w:rPr>
            </w:pPr>
            <w:r w:rsidRPr="001C64EB">
              <w:rPr>
                <w:rFonts w:cs="Arial"/>
              </w:rPr>
              <w:t>budynek wolnostojący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w:t>
            </w:r>
          </w:p>
        </w:tc>
      </w:tr>
      <w:tr w:rsidR="00A21AA6" w:rsidRPr="001C64EB" w14:paraId="677850DB" w14:textId="77777777" w:rsidTr="00792620">
        <w:trPr>
          <w:trHeight w:val="1278"/>
        </w:trPr>
        <w:tc>
          <w:tcPr>
            <w:tcW w:w="2692" w:type="dxa"/>
            <w:vAlign w:val="center"/>
          </w:tcPr>
          <w:p w14:paraId="0C903857" w14:textId="77777777" w:rsidR="00792620" w:rsidRPr="001C64EB" w:rsidRDefault="00792620" w:rsidP="00792620">
            <w:pPr>
              <w:spacing w:line="240" w:lineRule="auto"/>
              <w:ind w:left="229"/>
              <w:rPr>
                <w:rFonts w:cs="Arial"/>
                <w:b/>
              </w:rPr>
            </w:pPr>
            <w:r w:rsidRPr="001C64EB">
              <w:rPr>
                <w:rFonts w:cs="Arial"/>
                <w:b/>
              </w:rPr>
              <w:t>Budynek wielorodzinny</w:t>
            </w:r>
          </w:p>
        </w:tc>
        <w:tc>
          <w:tcPr>
            <w:tcW w:w="7256" w:type="dxa"/>
            <w:vAlign w:val="center"/>
          </w:tcPr>
          <w:p w14:paraId="13CE2BF0" w14:textId="77777777" w:rsidR="00792620" w:rsidRPr="001C64EB" w:rsidRDefault="00792620" w:rsidP="00792620">
            <w:pPr>
              <w:spacing w:line="240" w:lineRule="auto"/>
              <w:ind w:left="229"/>
              <w:rPr>
                <w:rFonts w:cs="Arial"/>
              </w:rPr>
            </w:pPr>
            <w:r w:rsidRPr="001C64EB">
              <w:rPr>
                <w:rFonts w:cs="Arial"/>
              </w:rPr>
              <w:t>budynek mieszkalny wielorodzinny - budynek wolno stojący albo budynek w zabudowie szeregowej, służący zaspokajaniu potrzeb mieszkaniowych, stanowiący konstrukcyjnie samodzielną całość, w którym wydzielono więcej niż dwa lokale mieszkalne.</w:t>
            </w:r>
          </w:p>
        </w:tc>
      </w:tr>
      <w:tr w:rsidR="00A21AA6" w:rsidRPr="001C64EB" w14:paraId="40CF8F63" w14:textId="77777777" w:rsidTr="00792620">
        <w:trPr>
          <w:trHeight w:val="1278"/>
        </w:trPr>
        <w:tc>
          <w:tcPr>
            <w:tcW w:w="2692" w:type="dxa"/>
            <w:vAlign w:val="center"/>
          </w:tcPr>
          <w:p w14:paraId="0DC2C405" w14:textId="77777777" w:rsidR="00792620" w:rsidRPr="001C64EB" w:rsidRDefault="00792620" w:rsidP="00792620">
            <w:pPr>
              <w:spacing w:line="240" w:lineRule="auto"/>
              <w:ind w:left="229"/>
              <w:rPr>
                <w:b/>
              </w:rPr>
            </w:pPr>
            <w:proofErr w:type="spellStart"/>
            <w:r w:rsidRPr="001C64EB">
              <w:rPr>
                <w:rFonts w:cs="Arial"/>
                <w:b/>
              </w:rPr>
              <w:lastRenderedPageBreak/>
              <w:t>Mikroinstalacja</w:t>
            </w:r>
            <w:proofErr w:type="spellEnd"/>
            <w:r w:rsidRPr="001C64EB">
              <w:rPr>
                <w:rFonts w:cs="Arial"/>
                <w:b/>
              </w:rPr>
              <w:t xml:space="preserve"> OZE </w:t>
            </w:r>
            <w:r w:rsidRPr="001C64EB">
              <w:rPr>
                <w:rFonts w:cs="Arial"/>
              </w:rPr>
              <w:t xml:space="preserve">  </w:t>
            </w:r>
          </w:p>
        </w:tc>
        <w:tc>
          <w:tcPr>
            <w:tcW w:w="7256" w:type="dxa"/>
            <w:vAlign w:val="center"/>
          </w:tcPr>
          <w:p w14:paraId="03E69ADC" w14:textId="77777777" w:rsidR="00792620" w:rsidRPr="001C64EB" w:rsidRDefault="00792620" w:rsidP="00792620">
            <w:pPr>
              <w:spacing w:line="240" w:lineRule="auto"/>
              <w:ind w:left="229"/>
              <w:rPr>
                <w:rFonts w:eastAsia="Times New Roman" w:cs="Times New Roman"/>
                <w:b/>
                <w:bCs/>
              </w:rPr>
            </w:pPr>
            <w:r w:rsidRPr="001C64EB">
              <w:rPr>
                <w:rFonts w:cs="Arial"/>
              </w:rPr>
              <w:t>i</w:t>
            </w:r>
            <w:r w:rsidRPr="001C64EB">
              <w:t>nstalacja odnawialnego źródła energii</w:t>
            </w:r>
            <w:r w:rsidRPr="001C64EB">
              <w:rPr>
                <w:rStyle w:val="Odwoanieprzypisudolnego"/>
              </w:rPr>
              <w:footnoteReference w:id="5"/>
            </w:r>
            <w:r w:rsidRPr="001C64EB">
              <w:t xml:space="preserve"> o łącznej mocy zainstalowanej elektrycznej nie większej niż 40 kW, przyłączona do sieci elektroenergetycznej o napięciu znamionowym niższym niż 110 </w:t>
            </w:r>
            <w:proofErr w:type="spellStart"/>
            <w:r w:rsidRPr="001C64EB">
              <w:t>kV</w:t>
            </w:r>
            <w:proofErr w:type="spellEnd"/>
            <w:r w:rsidRPr="001C64EB">
              <w:t xml:space="preserve"> lub o mocy osiągalnej cieplnej w skojarzeniu nie większej niż 120 kW;</w:t>
            </w:r>
          </w:p>
        </w:tc>
      </w:tr>
      <w:tr w:rsidR="00A21AA6" w:rsidRPr="001C64EB" w14:paraId="2A7046B6" w14:textId="77777777" w:rsidTr="00792620">
        <w:trPr>
          <w:trHeight w:val="1503"/>
        </w:trPr>
        <w:tc>
          <w:tcPr>
            <w:tcW w:w="2692" w:type="dxa"/>
            <w:vAlign w:val="center"/>
          </w:tcPr>
          <w:p w14:paraId="75BC9BE8" w14:textId="77777777" w:rsidR="00792620" w:rsidRPr="001C64EB" w:rsidRDefault="00792620" w:rsidP="00792620">
            <w:pPr>
              <w:spacing w:line="240" w:lineRule="auto"/>
              <w:ind w:left="229"/>
              <w:rPr>
                <w:rFonts w:eastAsia="Times New Roman" w:cs="Times New Roman"/>
                <w:b/>
              </w:rPr>
            </w:pPr>
            <w:r w:rsidRPr="001C64EB">
              <w:rPr>
                <w:b/>
              </w:rPr>
              <w:t>Odnawialne źródła energii</w:t>
            </w:r>
            <w:r w:rsidRPr="001C64EB">
              <w:t xml:space="preserve"> </w:t>
            </w:r>
          </w:p>
          <w:p w14:paraId="5FB61667" w14:textId="77777777" w:rsidR="00792620" w:rsidRPr="001C64EB" w:rsidRDefault="00792620" w:rsidP="00792620">
            <w:pPr>
              <w:spacing w:line="240" w:lineRule="auto"/>
              <w:ind w:left="229"/>
            </w:pPr>
            <w:r w:rsidRPr="001C64EB">
              <w:rPr>
                <w:rFonts w:eastAsia="Calibri"/>
                <w:b/>
              </w:rPr>
              <w:br w:type="page"/>
            </w:r>
          </w:p>
        </w:tc>
        <w:tc>
          <w:tcPr>
            <w:tcW w:w="7256" w:type="dxa"/>
            <w:vAlign w:val="center"/>
          </w:tcPr>
          <w:p w14:paraId="678668D3" w14:textId="77777777" w:rsidR="00792620" w:rsidRPr="001C64EB" w:rsidRDefault="00792620" w:rsidP="00792620">
            <w:pPr>
              <w:spacing w:line="240" w:lineRule="auto"/>
              <w:ind w:left="229"/>
            </w:pPr>
            <w:r w:rsidRPr="001C64EB">
              <w:t xml:space="preserve">odnawiane, niekopalne źródła energii obejmujące energię wiatru, energię promieniowania słonecznego, energię </w:t>
            </w:r>
            <w:proofErr w:type="spellStart"/>
            <w:r w:rsidRPr="001C64EB">
              <w:t>aerotermalną</w:t>
            </w:r>
            <w:proofErr w:type="spellEnd"/>
            <w:r w:rsidRPr="001C64EB">
              <w:t xml:space="preserve">, energię geotermalną, energię hydrotermalną, hydroenergię, energię fal, prądów i pływów morskich, energię otrzymywaną z biomasy, biogazu, biogazu rolniczego oraz z </w:t>
            </w:r>
            <w:proofErr w:type="spellStart"/>
            <w:r w:rsidRPr="001C64EB">
              <w:t>biopłynów</w:t>
            </w:r>
            <w:proofErr w:type="spellEnd"/>
            <w:r w:rsidRPr="001C64EB">
              <w:t>.</w:t>
            </w:r>
          </w:p>
        </w:tc>
      </w:tr>
    </w:tbl>
    <w:p w14:paraId="5C6A8ABA" w14:textId="77DC8083" w:rsidR="00792620" w:rsidRPr="001C64EB" w:rsidRDefault="00C60FA4" w:rsidP="00792620">
      <w:pPr>
        <w:pStyle w:val="Nagwek1"/>
        <w:rPr>
          <w:color w:val="auto"/>
        </w:rPr>
      </w:pPr>
      <w:bookmarkStart w:id="2" w:name="_Toc7251553"/>
      <w:r w:rsidRPr="001C64EB">
        <w:rPr>
          <w:color w:val="auto"/>
        </w:rPr>
        <w:t>2. </w:t>
      </w:r>
      <w:r w:rsidR="00792620" w:rsidRPr="001C64EB">
        <w:rPr>
          <w:color w:val="auto"/>
        </w:rPr>
        <w:t>Podstawa prawna</w:t>
      </w:r>
      <w:bookmarkEnd w:id="2"/>
    </w:p>
    <w:p w14:paraId="34D17B31" w14:textId="77777777" w:rsidR="00792620" w:rsidRPr="001C64EB" w:rsidRDefault="00792620" w:rsidP="00792620">
      <w:pPr>
        <w:autoSpaceDE w:val="0"/>
        <w:autoSpaceDN w:val="0"/>
        <w:adjustRightInd w:val="0"/>
        <w:rPr>
          <w:rFonts w:cs="Tahoma"/>
          <w:szCs w:val="18"/>
        </w:rPr>
      </w:pPr>
      <w:r w:rsidRPr="001C64EB">
        <w:rPr>
          <w:rFonts w:cs="Tahoma"/>
          <w:szCs w:val="18"/>
        </w:rPr>
        <w:t>W ramach niniejszego konkursu zastosowanie mają w szczególności:</w:t>
      </w:r>
    </w:p>
    <w:p w14:paraId="636FE309" w14:textId="77777777" w:rsidR="00792620" w:rsidRPr="001C64EB" w:rsidRDefault="00792620" w:rsidP="00792620">
      <w:pPr>
        <w:pStyle w:val="Akapitzlist"/>
        <w:numPr>
          <w:ilvl w:val="0"/>
          <w:numId w:val="29"/>
        </w:numPr>
        <w:rPr>
          <w:rFonts w:cs="Tahoma"/>
          <w:szCs w:val="18"/>
        </w:rPr>
      </w:pPr>
      <w:r w:rsidRPr="001C64EB">
        <w:rPr>
          <w:rFonts w:cs="Tahoma"/>
          <w:szCs w:val="18"/>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zwane „</w:t>
      </w:r>
      <w:r w:rsidRPr="001C64EB">
        <w:rPr>
          <w:rFonts w:cs="Tahoma"/>
          <w:b/>
          <w:szCs w:val="18"/>
        </w:rPr>
        <w:t>rozporządzeniem EFRR</w:t>
      </w:r>
      <w:r w:rsidRPr="001C64EB">
        <w:rPr>
          <w:rFonts w:cs="Tahoma"/>
          <w:szCs w:val="18"/>
        </w:rPr>
        <w:t>”;</w:t>
      </w:r>
    </w:p>
    <w:p w14:paraId="5665C11C" w14:textId="77777777" w:rsidR="00792620" w:rsidRPr="001C64EB" w:rsidRDefault="00792620" w:rsidP="00792620">
      <w:pPr>
        <w:pStyle w:val="Akapitzlist"/>
        <w:numPr>
          <w:ilvl w:val="0"/>
          <w:numId w:val="29"/>
        </w:numPr>
        <w:rPr>
          <w:rFonts w:cs="Tahoma"/>
          <w:szCs w:val="18"/>
        </w:rPr>
      </w:pPr>
      <w:r w:rsidRPr="001C64EB">
        <w:rPr>
          <w:rFonts w:cs="Tahoma"/>
          <w:szCs w:val="18"/>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w:t>
      </w:r>
      <w:r w:rsidRPr="001C64EB">
        <w:rPr>
          <w:rFonts w:cs="Tahoma"/>
          <w:b/>
          <w:szCs w:val="18"/>
        </w:rPr>
        <w:t>rozporządzeniem ogólnym”</w:t>
      </w:r>
      <w:r w:rsidRPr="001C64EB">
        <w:rPr>
          <w:rFonts w:cs="Tahoma"/>
          <w:szCs w:val="18"/>
        </w:rPr>
        <w:t xml:space="preserve">; </w:t>
      </w:r>
    </w:p>
    <w:p w14:paraId="18AE3E25" w14:textId="77777777" w:rsidR="00792620" w:rsidRPr="001C64EB" w:rsidRDefault="00792620" w:rsidP="00792620">
      <w:pPr>
        <w:pStyle w:val="Akapitzlist"/>
        <w:numPr>
          <w:ilvl w:val="0"/>
          <w:numId w:val="29"/>
        </w:numPr>
        <w:rPr>
          <w:rFonts w:cs="Tahoma"/>
          <w:szCs w:val="18"/>
        </w:rPr>
      </w:pPr>
      <w:r w:rsidRPr="001C64EB">
        <w:rPr>
          <w:rFonts w:cs="Tahoma"/>
          <w:szCs w:val="18"/>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zwane „</w:t>
      </w:r>
      <w:r w:rsidRPr="001C64EB">
        <w:rPr>
          <w:rFonts w:cs="Tahoma"/>
          <w:b/>
          <w:szCs w:val="18"/>
        </w:rPr>
        <w:t>rozporządzeniem delegowanym Komisji (UE)”</w:t>
      </w:r>
      <w:r w:rsidRPr="001C64EB">
        <w:rPr>
          <w:rFonts w:cs="Tahoma"/>
          <w:szCs w:val="18"/>
        </w:rPr>
        <w:t xml:space="preserve">; </w:t>
      </w:r>
    </w:p>
    <w:p w14:paraId="6F92C54A" w14:textId="77777777" w:rsidR="00792620" w:rsidRPr="001C64EB" w:rsidRDefault="00792620" w:rsidP="00792620">
      <w:pPr>
        <w:pStyle w:val="Akapitzlist"/>
        <w:numPr>
          <w:ilvl w:val="0"/>
          <w:numId w:val="29"/>
        </w:numPr>
        <w:rPr>
          <w:rFonts w:cs="Tahoma"/>
          <w:szCs w:val="18"/>
        </w:rPr>
      </w:pPr>
      <w:r w:rsidRPr="001C64EB">
        <w:rPr>
          <w:rFonts w:cs="Tahoma"/>
          <w:szCs w:val="18"/>
        </w:rPr>
        <w:t xml:space="preserve">rozporządzenie Komisji (UE) Nr 651/2014 z dnia 17 czerwca 2014 r. uznającym niektóre rodzaje pomocy za zgodne z rynkiem wewnętrznym w zastosowaniu art. 107 i 108 Traktatu z </w:t>
      </w:r>
      <w:proofErr w:type="spellStart"/>
      <w:r w:rsidRPr="001C64EB">
        <w:rPr>
          <w:rFonts w:cs="Tahoma"/>
          <w:szCs w:val="18"/>
        </w:rPr>
        <w:t>późn</w:t>
      </w:r>
      <w:proofErr w:type="spellEnd"/>
      <w:r w:rsidRPr="001C64EB">
        <w:rPr>
          <w:rFonts w:cs="Tahoma"/>
          <w:szCs w:val="18"/>
        </w:rPr>
        <w:t xml:space="preserve">. </w:t>
      </w:r>
      <w:proofErr w:type="spellStart"/>
      <w:r w:rsidRPr="001C64EB">
        <w:rPr>
          <w:rFonts w:cs="Tahoma"/>
          <w:szCs w:val="18"/>
        </w:rPr>
        <w:t>zm</w:t>
      </w:r>
      <w:proofErr w:type="spellEnd"/>
      <w:r w:rsidRPr="001C64EB">
        <w:rPr>
          <w:rFonts w:cs="Tahoma"/>
          <w:szCs w:val="18"/>
        </w:rPr>
        <w:t xml:space="preserve">, zwane </w:t>
      </w:r>
      <w:r w:rsidRPr="001C64EB">
        <w:rPr>
          <w:rFonts w:cs="Tahoma"/>
          <w:b/>
          <w:szCs w:val="18"/>
        </w:rPr>
        <w:t>„rozporządzeniem 651/2014”;</w:t>
      </w:r>
    </w:p>
    <w:p w14:paraId="6CA79C65" w14:textId="77777777" w:rsidR="00792620" w:rsidRPr="001C64EB" w:rsidRDefault="00792620" w:rsidP="00792620">
      <w:pPr>
        <w:pStyle w:val="Akapitzlist"/>
        <w:numPr>
          <w:ilvl w:val="0"/>
          <w:numId w:val="29"/>
        </w:numPr>
        <w:rPr>
          <w:rFonts w:cs="Tahoma"/>
          <w:szCs w:val="18"/>
        </w:rPr>
      </w:pPr>
      <w:r w:rsidRPr="001C64EB">
        <w:rPr>
          <w:rFonts w:cs="Tahoma"/>
          <w:szCs w:val="18"/>
        </w:rPr>
        <w:t xml:space="preserve">rozporządzenie Komisji (UE) nr 1407/2013 z dnia 18 grudnia 2013 r. w sprawie stosowania art. 107 i 108 Traktatu do pomocy de </w:t>
      </w:r>
      <w:proofErr w:type="spellStart"/>
      <w:r w:rsidRPr="001C64EB">
        <w:rPr>
          <w:rFonts w:cs="Tahoma"/>
          <w:szCs w:val="18"/>
        </w:rPr>
        <w:t>minimis</w:t>
      </w:r>
      <w:proofErr w:type="spellEnd"/>
      <w:r w:rsidRPr="001C64EB">
        <w:rPr>
          <w:rFonts w:cs="Tahoma"/>
          <w:szCs w:val="18"/>
        </w:rPr>
        <w:t>;</w:t>
      </w:r>
    </w:p>
    <w:p w14:paraId="7527B9E9"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 xml:space="preserve">rozporządzenie Komisji (UE) 2015/1185 z dnia 24 kwietnia 2015 r. w sprawie wykonania dyrektywy Parlamentu Europejskiego i Rady 2009/125/WE w odniesieniu do wymogów dotyczących </w:t>
      </w:r>
      <w:proofErr w:type="spellStart"/>
      <w:r w:rsidRPr="001C64EB">
        <w:rPr>
          <w:rFonts w:eastAsia="Times New Roman" w:cs="Tahoma"/>
          <w:szCs w:val="18"/>
          <w:lang w:eastAsia="pl-PL"/>
        </w:rPr>
        <w:t>ekoprojektu</w:t>
      </w:r>
      <w:proofErr w:type="spellEnd"/>
      <w:r w:rsidRPr="001C64EB">
        <w:rPr>
          <w:rFonts w:eastAsia="Times New Roman" w:cs="Tahoma"/>
          <w:szCs w:val="18"/>
          <w:lang w:eastAsia="pl-PL"/>
        </w:rPr>
        <w:t xml:space="preserve"> dla miejscowych ogrzewaczy pomieszczeń na paliwo stałe;</w:t>
      </w:r>
    </w:p>
    <w:p w14:paraId="10141D27"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lastRenderedPageBreak/>
        <w:t xml:space="preserve">rozporządzenie Komisji (UE) 2015/1188 z dnia 28 kwietnia 2015 r. w sprawie wykonania dyrektywy Parlamentu Europejskiego i Rady 2009/125/WE w odniesieniu do wymogów dotyczących </w:t>
      </w:r>
      <w:proofErr w:type="spellStart"/>
      <w:r w:rsidRPr="001C64EB">
        <w:rPr>
          <w:rFonts w:eastAsia="Times New Roman" w:cs="Tahoma"/>
          <w:szCs w:val="18"/>
          <w:lang w:eastAsia="pl-PL"/>
        </w:rPr>
        <w:t>ekoprojektu</w:t>
      </w:r>
      <w:proofErr w:type="spellEnd"/>
      <w:r w:rsidRPr="001C64EB">
        <w:rPr>
          <w:rFonts w:eastAsia="Times New Roman" w:cs="Tahoma"/>
          <w:szCs w:val="18"/>
          <w:lang w:eastAsia="pl-PL"/>
        </w:rPr>
        <w:t xml:space="preserve"> dla miejscowych ogrzewaczy pomieszczeń;</w:t>
      </w:r>
    </w:p>
    <w:p w14:paraId="6EAF1E3B"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 xml:space="preserve">rozporządzenie Komisji (UE) 2015/1189 z dnia 28 kwietnia 2015 r. w sprawie wykonania dyrektywy Parlamentu Europejskiego i Rady 2009/125/WE w odniesieniu do wymogów dotyczących </w:t>
      </w:r>
      <w:proofErr w:type="spellStart"/>
      <w:r w:rsidRPr="001C64EB">
        <w:rPr>
          <w:rFonts w:eastAsia="Times New Roman" w:cs="Tahoma"/>
          <w:szCs w:val="18"/>
          <w:lang w:eastAsia="pl-PL"/>
        </w:rPr>
        <w:t>ekoprojektu</w:t>
      </w:r>
      <w:proofErr w:type="spellEnd"/>
      <w:r w:rsidRPr="001C64EB">
        <w:rPr>
          <w:rFonts w:eastAsia="Times New Roman" w:cs="Tahoma"/>
          <w:szCs w:val="18"/>
          <w:lang w:eastAsia="pl-PL"/>
        </w:rPr>
        <w:t xml:space="preserve"> dla kotłów na paliwo stałe;</w:t>
      </w:r>
    </w:p>
    <w:p w14:paraId="4F27BF0F" w14:textId="77777777" w:rsidR="00792620" w:rsidRPr="001C64EB" w:rsidRDefault="00792620" w:rsidP="00792620">
      <w:pPr>
        <w:pStyle w:val="Default"/>
        <w:numPr>
          <w:ilvl w:val="0"/>
          <w:numId w:val="29"/>
        </w:numPr>
        <w:spacing w:line="360" w:lineRule="auto"/>
        <w:ind w:left="426"/>
        <w:jc w:val="both"/>
        <w:rPr>
          <w:rFonts w:ascii="Tahoma" w:hAnsi="Tahoma" w:cs="Tahoma"/>
          <w:color w:val="auto"/>
          <w:sz w:val="18"/>
          <w:szCs w:val="18"/>
        </w:rPr>
      </w:pPr>
      <w:r w:rsidRPr="001C64EB">
        <w:rPr>
          <w:rFonts w:ascii="Tahoma" w:hAnsi="Tahoma" w:cs="Tahoma"/>
          <w:color w:val="auto"/>
          <w:sz w:val="18"/>
          <w:szCs w:val="18"/>
        </w:rPr>
        <w:t xml:space="preserve">rozporządzenie Ministra Infrastruktury i Rozwoju z dnia 19 marca 2015 r. w sprawie udzielania pomocy de </w:t>
      </w:r>
      <w:proofErr w:type="spellStart"/>
      <w:r w:rsidRPr="001C64EB">
        <w:rPr>
          <w:rFonts w:ascii="Tahoma" w:hAnsi="Tahoma" w:cs="Tahoma"/>
          <w:color w:val="auto"/>
          <w:sz w:val="18"/>
          <w:szCs w:val="18"/>
        </w:rPr>
        <w:t>minimis</w:t>
      </w:r>
      <w:proofErr w:type="spellEnd"/>
      <w:r w:rsidRPr="001C64EB">
        <w:rPr>
          <w:rFonts w:ascii="Tahoma" w:hAnsi="Tahoma" w:cs="Tahoma"/>
          <w:color w:val="auto"/>
          <w:sz w:val="18"/>
          <w:szCs w:val="18"/>
        </w:rPr>
        <w:t xml:space="preserve"> w ramach regionalnych programów operacyjnych na lata 2014-2020 zwane </w:t>
      </w:r>
      <w:r w:rsidRPr="001C64EB">
        <w:rPr>
          <w:rFonts w:ascii="Tahoma" w:hAnsi="Tahoma" w:cs="Tahoma"/>
          <w:b/>
          <w:color w:val="auto"/>
          <w:sz w:val="18"/>
          <w:szCs w:val="18"/>
        </w:rPr>
        <w:t xml:space="preserve">„rozporządzeniem de </w:t>
      </w:r>
      <w:proofErr w:type="spellStart"/>
      <w:r w:rsidRPr="001C64EB">
        <w:rPr>
          <w:rFonts w:ascii="Tahoma" w:hAnsi="Tahoma" w:cs="Tahoma"/>
          <w:b/>
          <w:color w:val="auto"/>
          <w:sz w:val="18"/>
          <w:szCs w:val="18"/>
        </w:rPr>
        <w:t>minimis</w:t>
      </w:r>
      <w:proofErr w:type="spellEnd"/>
      <w:r w:rsidRPr="001C64EB">
        <w:rPr>
          <w:rFonts w:ascii="Tahoma" w:hAnsi="Tahoma" w:cs="Tahoma"/>
          <w:b/>
          <w:color w:val="auto"/>
          <w:sz w:val="18"/>
          <w:szCs w:val="18"/>
        </w:rPr>
        <w:t>”</w:t>
      </w:r>
      <w:r w:rsidRPr="001C64EB">
        <w:rPr>
          <w:rFonts w:ascii="Tahoma" w:hAnsi="Tahoma" w:cs="Tahoma"/>
          <w:color w:val="auto"/>
          <w:sz w:val="18"/>
          <w:szCs w:val="18"/>
        </w:rPr>
        <w:t>;</w:t>
      </w:r>
    </w:p>
    <w:p w14:paraId="42D98594"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 xml:space="preserve">rozporządzenie </w:t>
      </w:r>
      <w:r w:rsidRPr="001C64EB">
        <w:rPr>
          <w:rFonts w:cs="Tahoma"/>
          <w:szCs w:val="18"/>
        </w:rPr>
        <w:t>Rady Ministrów z dnia 30 czerwca 2014 r. w sprawie ustalenia mapy pomocy regionalnej na lata 2014–2020</w:t>
      </w:r>
      <w:r w:rsidRPr="001C64EB">
        <w:rPr>
          <w:rFonts w:eastAsia="Times New Roman" w:cs="Tahoma"/>
          <w:szCs w:val="18"/>
          <w:lang w:eastAsia="pl-PL"/>
        </w:rPr>
        <w:t>;</w:t>
      </w:r>
    </w:p>
    <w:p w14:paraId="2DE66485"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Rozporządzenie Ministra Infrastruktury z dnia 12 kwietnia 2002 r. w sprawie warunków technicznych, jakim powinny odpowiadać budynki i ich usytuowanie;</w:t>
      </w:r>
    </w:p>
    <w:p w14:paraId="7AAB0F6A"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Rozporządzenie Ministra Infrastruktury i Rozwoju z dnia 28 sierpnia 2015 r. w sprawie udzielania pomocy na inwestycje wspierające efektywność energetyczną w ramach regionalnych programów operacyjnych na lata 2014–2020 ;</w:t>
      </w:r>
    </w:p>
    <w:p w14:paraId="0F7B5231"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Rozporządzenie Ministra infrastruktury i Rozwoju z dnia 5 listopada 2015 r. w sprawie udzielania pomocy na realizację inwestycji służących podniesieniu poziomu ochrony środowiska w ramach regionalnych programów operacyjnych na lata 2014–2020;</w:t>
      </w:r>
    </w:p>
    <w:p w14:paraId="090CDEDF"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4DCEC5E9" w14:textId="77777777" w:rsidR="00792620" w:rsidRPr="001C64EB" w:rsidRDefault="00792620" w:rsidP="00792620">
      <w:pPr>
        <w:pStyle w:val="Default"/>
        <w:numPr>
          <w:ilvl w:val="0"/>
          <w:numId w:val="29"/>
        </w:numPr>
        <w:spacing w:line="360" w:lineRule="auto"/>
        <w:ind w:left="426"/>
        <w:jc w:val="both"/>
        <w:rPr>
          <w:rFonts w:ascii="Tahoma" w:hAnsi="Tahoma" w:cs="Tahoma"/>
          <w:color w:val="auto"/>
          <w:sz w:val="18"/>
          <w:szCs w:val="18"/>
        </w:rPr>
      </w:pPr>
      <w:r w:rsidRPr="001C64EB">
        <w:rPr>
          <w:rFonts w:ascii="Tahoma" w:hAnsi="Tahoma" w:cs="Tahoma"/>
          <w:color w:val="auto"/>
          <w:sz w:val="18"/>
          <w:szCs w:val="18"/>
        </w:rPr>
        <w:t xml:space="preserve">ustawa z dnia 11 lipca 2014 r. o zasadach realizacji programów w zakresie polityki spójności finansowanych w perspektywie finansowej 2014-2020 (tekst jedn. Dz. U. z 2017 r., poz.  1460) wraz z aktami wykonawczymi, zwana </w:t>
      </w:r>
      <w:r w:rsidRPr="001C64EB">
        <w:rPr>
          <w:rFonts w:ascii="Tahoma" w:hAnsi="Tahoma" w:cs="Tahoma"/>
          <w:b/>
          <w:color w:val="auto"/>
          <w:sz w:val="18"/>
          <w:szCs w:val="18"/>
        </w:rPr>
        <w:t>”ustawą wdrożeniową”</w:t>
      </w:r>
      <w:r w:rsidRPr="001C64EB">
        <w:rPr>
          <w:rFonts w:ascii="Tahoma" w:hAnsi="Tahoma" w:cs="Tahoma"/>
          <w:color w:val="auto"/>
          <w:sz w:val="18"/>
          <w:szCs w:val="18"/>
        </w:rPr>
        <w:t>;</w:t>
      </w:r>
    </w:p>
    <w:p w14:paraId="108B5EA1"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 xml:space="preserve">ustawa z dnia 29 stycznia 2004 r. Prawo zamówień publicznych wraz z aktami wykonawczymi; </w:t>
      </w:r>
    </w:p>
    <w:p w14:paraId="4DB9F7F1"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ustawa z dnia 27 sierpnia 2009 r. o finansach publicznych wraz z aktami wykonawczymi;</w:t>
      </w:r>
    </w:p>
    <w:p w14:paraId="7269ADE4"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 xml:space="preserve">ustawa z dnia 29 września 1994 r. o rachunkowości wraz z aktami wykonawczymi; </w:t>
      </w:r>
    </w:p>
    <w:p w14:paraId="5B40FFC2"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 xml:space="preserve">ustawa z dnia 30 kwietnia 2004 r. o postępowaniu w sprawach dotyczących pomocy publicznej; </w:t>
      </w:r>
    </w:p>
    <w:p w14:paraId="67A0A019"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ustawa z dnia 17 lutego 2005 r. o informatyzacji działalności podmiotów realizujących zadania publiczne;</w:t>
      </w:r>
    </w:p>
    <w:p w14:paraId="182ACB22"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Ustawa z dnia 16 kwietnia 2004 r. o ochronie przyrody;</w:t>
      </w:r>
    </w:p>
    <w:p w14:paraId="3CBF87FB"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Ustawa z dnia 3 października 2008 r. o udostępnianiu informacji o środowisku i jego ochronie, udziale społeczeństwa w ochronie środowiska oraz o ocenach oddziaływania na środowisko;</w:t>
      </w:r>
    </w:p>
    <w:p w14:paraId="1AD07D9B"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Ustawa z dnia 20 maja 2016 r. o efektywności energetycznej,</w:t>
      </w:r>
    </w:p>
    <w:p w14:paraId="4B6F597B"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Ustawa z dnia 19 grudnia 2008 r. o partnerstwie publiczno-prywatnym;</w:t>
      </w:r>
    </w:p>
    <w:p w14:paraId="09C8AA0A"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ustawa z dnia 7 lipca 1994 r. Prawo budowlane;</w:t>
      </w:r>
    </w:p>
    <w:p w14:paraId="722FF9C0"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ustawa z dnia 6 września 2001 r. o dostępie do informacji publicznej;</w:t>
      </w:r>
    </w:p>
    <w:p w14:paraId="358D3CD4"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ustawa z dnia 14 czerwca 1960 r. Kodeks postępowania administracyjnego;</w:t>
      </w:r>
    </w:p>
    <w:p w14:paraId="06635115"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ustawa z dnia 30 sierpnia 2002 r. – Prawo o postępowaniu przed sądami administracyjnymi;</w:t>
      </w:r>
    </w:p>
    <w:p w14:paraId="2B2A51B8"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ustawa z dnia 23 listopada 2012 r. Prawo pocztowe;</w:t>
      </w:r>
    </w:p>
    <w:p w14:paraId="118DD770"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 xml:space="preserve">Regionalny Program Operacyjny Województwa Dolnośląskiego 2014-2020 zatwierdzony przez Komisję Europejską decyzją z dnia 18 grudnia 2014 r. (z </w:t>
      </w:r>
      <w:proofErr w:type="spellStart"/>
      <w:r w:rsidRPr="001C64EB">
        <w:rPr>
          <w:rFonts w:eastAsia="Times New Roman" w:cs="Tahoma"/>
          <w:szCs w:val="18"/>
          <w:lang w:eastAsia="pl-PL"/>
        </w:rPr>
        <w:t>późn</w:t>
      </w:r>
      <w:proofErr w:type="spellEnd"/>
      <w:r w:rsidRPr="001C64EB">
        <w:rPr>
          <w:rFonts w:eastAsia="Times New Roman" w:cs="Tahoma"/>
          <w:szCs w:val="18"/>
          <w:lang w:eastAsia="pl-PL"/>
        </w:rPr>
        <w:t>. zm.), zwanym „ RPO WD”;</w:t>
      </w:r>
    </w:p>
    <w:p w14:paraId="098EA421"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lastRenderedPageBreak/>
        <w:t>Szczegółowy Opis Osi Priorytetowych Regionalnego Programu Operacyjnego Województwa Dolnośląskiego na lata 2014-2020, zaakceptowany 15.10.2018 r. (wersja 36) przez Zarząd Województwa Dolnośląskiego, zwany „SZOOP RPO WD”;</w:t>
      </w:r>
    </w:p>
    <w:p w14:paraId="403B418E"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 xml:space="preserve">Programowanie perspektywy finansowej 2014-2020 - Umowa Partnerstwa, dokument przyjęty przez Komisję Europejską 23 maja 2014 r. (z </w:t>
      </w:r>
      <w:proofErr w:type="spellStart"/>
      <w:r w:rsidRPr="001C64EB">
        <w:rPr>
          <w:rFonts w:eastAsia="Times New Roman" w:cs="Tahoma"/>
          <w:szCs w:val="18"/>
          <w:lang w:eastAsia="pl-PL"/>
        </w:rPr>
        <w:t>późn</w:t>
      </w:r>
      <w:proofErr w:type="spellEnd"/>
      <w:r w:rsidRPr="001C64EB">
        <w:rPr>
          <w:rFonts w:eastAsia="Times New Roman" w:cs="Tahoma"/>
          <w:szCs w:val="18"/>
          <w:lang w:eastAsia="pl-PL"/>
        </w:rPr>
        <w:t xml:space="preserve">. zm.); </w:t>
      </w:r>
    </w:p>
    <w:p w14:paraId="3C4ECDF0"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Strategia Rozwoju Województwa Dolnośląskiego 2020;</w:t>
      </w:r>
    </w:p>
    <w:p w14:paraId="363F3280"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 xml:space="preserve">wytyczne, o których mowa w art. 5 ust. 1 ustawy wdrożeniowej; </w:t>
      </w:r>
    </w:p>
    <w:p w14:paraId="318128D3"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 xml:space="preserve">Regionalna Strategia Innowacji dla Województwa Dolnośląskiego na lata 2011-2020 (RSI WD), przyjęta uchwałą nr 1149/IV/11 Zarządu Województwa Dolnośląskiego z dnia 30 sierpnia 2011 r. (z </w:t>
      </w:r>
      <w:proofErr w:type="spellStart"/>
      <w:r w:rsidRPr="001C64EB">
        <w:rPr>
          <w:rFonts w:eastAsia="Times New Roman" w:cs="Tahoma"/>
          <w:szCs w:val="18"/>
          <w:lang w:eastAsia="pl-PL"/>
        </w:rPr>
        <w:t>późn</w:t>
      </w:r>
      <w:proofErr w:type="spellEnd"/>
      <w:r w:rsidRPr="001C64EB">
        <w:rPr>
          <w:rFonts w:eastAsia="Times New Roman" w:cs="Tahoma"/>
          <w:szCs w:val="18"/>
          <w:lang w:eastAsia="pl-PL"/>
        </w:rPr>
        <w:t xml:space="preserve">. zm.) wraz z załącznikiem „Ramy Strategicznie na rzecz inteligentnych specjalizacji Dolnego Śląska”, przyjętym uchwałą nr 1063/V/15 Zarządu Województwa Dolnośląskiego z dnia 19 sierpnia 2015 r.;  </w:t>
      </w:r>
    </w:p>
    <w:p w14:paraId="4307F5B4"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Poradnik opublikowany przez Ministerstwo Rozwoju „Realizacja zasady równości szans i niedyskryminacji, w tym dostępności dla osób z niepełnosprawnościami” oraz inne dokumenty dotyczące dostępności realizowanych projektów dla osób z niepełnosprawnościami znajdujące się na stronie www.power.gov.pl/dostepnosc oraz w zakładce Poznaj Fundusze Europejskie</w:t>
      </w:r>
      <w:r w:rsidRPr="001C64EB">
        <w:rPr>
          <w:rFonts w:cs="Tahoma"/>
          <w:szCs w:val="18"/>
        </w:rPr>
        <w:t xml:space="preserve"> bez </w:t>
      </w:r>
      <w:r w:rsidRPr="001C64EB">
        <w:rPr>
          <w:rFonts w:eastAsia="Times New Roman" w:cs="Tahoma"/>
          <w:szCs w:val="18"/>
          <w:lang w:eastAsia="pl-PL"/>
        </w:rPr>
        <w:t>barier znajdującej się na stronie internetowej RPO WD (</w:t>
      </w:r>
      <w:hyperlink r:id="rId8" w:history="1">
        <w:r w:rsidRPr="001C64EB">
          <w:rPr>
            <w:rFonts w:eastAsia="Times New Roman" w:cs="Tahoma"/>
            <w:szCs w:val="18"/>
            <w:lang w:eastAsia="pl-PL"/>
          </w:rPr>
          <w:t>http://rpo.dolnyslask.pl/o-projekcie/poznaj-fundusze-europejskie-bez-barier/</w:t>
        </w:r>
      </w:hyperlink>
      <w:r w:rsidRPr="001C64EB">
        <w:rPr>
          <w:rFonts w:eastAsia="Times New Roman" w:cs="Tahoma"/>
          <w:szCs w:val="18"/>
          <w:lang w:eastAsia="pl-PL"/>
        </w:rPr>
        <w:t>).</w:t>
      </w:r>
    </w:p>
    <w:p w14:paraId="2369C612" w14:textId="77777777" w:rsidR="00792620" w:rsidRPr="001C64EB" w:rsidRDefault="00792620" w:rsidP="00792620">
      <w:pPr>
        <w:numPr>
          <w:ilvl w:val="0"/>
          <w:numId w:val="29"/>
        </w:numPr>
        <w:autoSpaceDE w:val="0"/>
        <w:autoSpaceDN w:val="0"/>
        <w:adjustRightInd w:val="0"/>
        <w:ind w:left="426"/>
        <w:rPr>
          <w:rFonts w:eastAsia="Times New Roman" w:cs="Tahoma"/>
          <w:szCs w:val="18"/>
          <w:lang w:eastAsia="pl-PL"/>
        </w:rPr>
      </w:pPr>
      <w:r w:rsidRPr="001C64EB">
        <w:rPr>
          <w:rFonts w:eastAsia="Times New Roman" w:cs="Tahoma"/>
          <w:szCs w:val="18"/>
          <w:lang w:eastAsia="pl-PL"/>
        </w:rPr>
        <w:t>Zalecenia Instytucji Zarządzającej do realizacji projektów grantowych – Zalecenia Instytucji Zarządzającej Regionalnym Programem Operacyjnym Województwa Dolnośląskiego 2014 -2020 do realizacji projektów grantowych w ramach działania 3.3 Efektywność energetyczna w budynkach użyteczności publicznej i sektorze mieszkaniowym Regionalnego Programu Operacyjnego  Województwa Dolnośląskiego 2014-2020.</w:t>
      </w:r>
    </w:p>
    <w:p w14:paraId="34B3D683" w14:textId="44ADAEEC" w:rsidR="00C86159" w:rsidRPr="001C64EB" w:rsidRDefault="00C60FA4" w:rsidP="00325743">
      <w:pPr>
        <w:pStyle w:val="Nagwek1"/>
        <w:rPr>
          <w:b w:val="0"/>
          <w:color w:val="auto"/>
        </w:rPr>
      </w:pPr>
      <w:bookmarkStart w:id="3" w:name="_Toc7251554"/>
      <w:r w:rsidRPr="001C64EB">
        <w:rPr>
          <w:color w:val="auto"/>
        </w:rPr>
        <w:t>3. </w:t>
      </w:r>
      <w:r w:rsidR="00C86159" w:rsidRPr="001C64EB">
        <w:rPr>
          <w:color w:val="auto"/>
        </w:rPr>
        <w:t>Cel i przedmiot projektu</w:t>
      </w:r>
      <w:bookmarkEnd w:id="3"/>
    </w:p>
    <w:p w14:paraId="1C382043" w14:textId="34951D50" w:rsidR="00C86159" w:rsidRPr="001C64EB" w:rsidRDefault="00C86159" w:rsidP="00C86159">
      <w:pPr>
        <w:rPr>
          <w:rFonts w:cs="Tahoma"/>
        </w:rPr>
      </w:pPr>
      <w:r w:rsidRPr="001C64EB">
        <w:t>C</w:t>
      </w:r>
      <w:r w:rsidRPr="001C64EB">
        <w:rPr>
          <w:rFonts w:cs="Tahoma"/>
        </w:rPr>
        <w:t>elem projektu jest zwiększenie efektywności energetycznej budynków mieszkalnych oraz ograniczenie emisji kominowej na terenie gmin</w:t>
      </w:r>
      <w:r w:rsidR="00F92F63" w:rsidRPr="001C64EB">
        <w:rPr>
          <w:rFonts w:cs="Tahoma"/>
        </w:rPr>
        <w:t xml:space="preserve">y Męcinka </w:t>
      </w:r>
      <w:r w:rsidRPr="001C64EB">
        <w:rPr>
          <w:rFonts w:cs="Tahoma"/>
        </w:rPr>
        <w:t>poprzez modernizację źródeł ciepła w budynkach jednorodzinnych i wielorodzinnych wspartą inwestycjami w OZE.</w:t>
      </w:r>
      <w:r w:rsidRPr="001C64EB">
        <w:t xml:space="preserve"> Przedmiotem projekt jest </w:t>
      </w:r>
      <w:r w:rsidRPr="001C64EB">
        <w:rPr>
          <w:rFonts w:cs="Tahoma"/>
        </w:rPr>
        <w:t>modernizacja źródeł ciepła w budynkach jednorodzinnych i wielorodzinnych wsparta inwestycjami w OZE</w:t>
      </w:r>
      <w:r w:rsidR="00033F24" w:rsidRPr="001C64EB">
        <w:rPr>
          <w:rFonts w:cs="Tahoma"/>
        </w:rPr>
        <w:t xml:space="preserve"> na terenie gminy </w:t>
      </w:r>
      <w:r w:rsidR="00F92F63" w:rsidRPr="001C64EB">
        <w:rPr>
          <w:rFonts w:cs="Tahoma"/>
        </w:rPr>
        <w:t>Męcinka</w:t>
      </w:r>
      <w:r w:rsidR="00033F24" w:rsidRPr="001C64EB">
        <w:rPr>
          <w:rFonts w:cs="Tahoma"/>
        </w:rPr>
        <w:t>.</w:t>
      </w:r>
    </w:p>
    <w:p w14:paraId="23E3CD36" w14:textId="71962DCC" w:rsidR="00C86159" w:rsidRPr="001C64EB" w:rsidRDefault="00C60FA4" w:rsidP="00325743">
      <w:pPr>
        <w:pStyle w:val="Nagwek1"/>
        <w:rPr>
          <w:color w:val="auto"/>
        </w:rPr>
      </w:pPr>
      <w:bookmarkStart w:id="4" w:name="_Toc7251555"/>
      <w:r w:rsidRPr="001C64EB">
        <w:rPr>
          <w:color w:val="auto"/>
        </w:rPr>
        <w:t>4. </w:t>
      </w:r>
      <w:r w:rsidR="00C86159" w:rsidRPr="001C64EB">
        <w:rPr>
          <w:color w:val="auto"/>
        </w:rPr>
        <w:t xml:space="preserve">Katalog </w:t>
      </w:r>
      <w:proofErr w:type="spellStart"/>
      <w:r w:rsidR="00C86159" w:rsidRPr="001C64EB">
        <w:rPr>
          <w:color w:val="auto"/>
        </w:rPr>
        <w:t>Grantobiorców</w:t>
      </w:r>
      <w:bookmarkEnd w:id="4"/>
      <w:proofErr w:type="spellEnd"/>
    </w:p>
    <w:p w14:paraId="29671CAC" w14:textId="1469A6C0" w:rsidR="00A4706D" w:rsidRPr="001C64EB" w:rsidRDefault="00A4706D" w:rsidP="00E71A28">
      <w:pPr>
        <w:pStyle w:val="Akapitzlist"/>
        <w:numPr>
          <w:ilvl w:val="0"/>
          <w:numId w:val="32"/>
        </w:numPr>
        <w:ind w:left="426" w:hanging="426"/>
      </w:pPr>
      <w:bookmarkStart w:id="5" w:name="_Toc5139398"/>
      <w:proofErr w:type="spellStart"/>
      <w:r w:rsidRPr="001C64EB">
        <w:t>Grantobiorcami</w:t>
      </w:r>
      <w:proofErr w:type="spellEnd"/>
      <w:r w:rsidRPr="001C64EB">
        <w:t xml:space="preserve"> mogą być osoby fizyczne będące:</w:t>
      </w:r>
    </w:p>
    <w:p w14:paraId="73C3C68D" w14:textId="33E34DBD" w:rsidR="00A4706D" w:rsidRPr="001C64EB" w:rsidRDefault="00866D86" w:rsidP="00A4706D">
      <w:pPr>
        <w:pStyle w:val="Akapitzlist"/>
        <w:numPr>
          <w:ilvl w:val="0"/>
          <w:numId w:val="1"/>
        </w:numPr>
      </w:pPr>
      <w:r w:rsidRPr="001C64EB">
        <w:t>w</w:t>
      </w:r>
      <w:r w:rsidR="00A4706D" w:rsidRPr="001C64EB">
        <w:t>łaścicielem domów jednorodzinnych;</w:t>
      </w:r>
    </w:p>
    <w:p w14:paraId="322A25A6" w14:textId="63DECCEE" w:rsidR="00866D86" w:rsidRPr="001C64EB" w:rsidRDefault="00866D86" w:rsidP="00A4706D">
      <w:pPr>
        <w:pStyle w:val="Akapitzlist"/>
        <w:numPr>
          <w:ilvl w:val="0"/>
          <w:numId w:val="1"/>
        </w:numPr>
      </w:pPr>
      <w:r w:rsidRPr="001C64EB">
        <w:t>współwłaścicielem domu lub mieszkania, po uzyskaniu zgody wszystkich współwłaścicieli oraz po przedłożeniu oświadczenia o wzięciu na siebie pełnej odpowiedzialności za  realizację projektu, w tym, ewentualnych roszczeń z tytułu niewywiązania się z realizacji grantu;</w:t>
      </w:r>
    </w:p>
    <w:p w14:paraId="38A507C8" w14:textId="77777777" w:rsidR="00A4706D" w:rsidRPr="001C64EB" w:rsidRDefault="00A4706D" w:rsidP="00A4706D">
      <w:pPr>
        <w:pStyle w:val="Akapitzlist"/>
        <w:numPr>
          <w:ilvl w:val="0"/>
          <w:numId w:val="1"/>
        </w:numPr>
      </w:pPr>
      <w:r w:rsidRPr="001C64EB">
        <w:t>właścicielem mieszkań w domach wielorodzinnych;</w:t>
      </w:r>
    </w:p>
    <w:p w14:paraId="2E286789" w14:textId="77777777" w:rsidR="00A4706D" w:rsidRPr="001C64EB" w:rsidRDefault="00A4706D" w:rsidP="00A4706D">
      <w:pPr>
        <w:pStyle w:val="Akapitzlist"/>
        <w:numPr>
          <w:ilvl w:val="0"/>
          <w:numId w:val="1"/>
        </w:numPr>
      </w:pPr>
      <w:r w:rsidRPr="001C64EB">
        <w:t>najemcą mieszkań w domach wielorodzinnych (posiadający tytuł do lokalu mieszkalnego oraz prawo do dysponowania lokalem na cele projektu w okresie realizacji i trwałości projektu);</w:t>
      </w:r>
    </w:p>
    <w:p w14:paraId="5F18D17A" w14:textId="77777777" w:rsidR="00A4706D" w:rsidRPr="001C64EB" w:rsidRDefault="00A4706D" w:rsidP="00A4706D">
      <w:r w:rsidRPr="001C64EB">
        <w:t>oraz:</w:t>
      </w:r>
    </w:p>
    <w:p w14:paraId="562925F0" w14:textId="77777777" w:rsidR="00A4706D" w:rsidRPr="001C64EB" w:rsidRDefault="00A4706D" w:rsidP="00A4706D">
      <w:pPr>
        <w:pStyle w:val="Akapitzlist"/>
        <w:numPr>
          <w:ilvl w:val="0"/>
          <w:numId w:val="1"/>
        </w:numPr>
      </w:pPr>
      <w:r w:rsidRPr="001C64EB">
        <w:t>wspólnoty mieszkaniowe;</w:t>
      </w:r>
    </w:p>
    <w:p w14:paraId="03A14241" w14:textId="77777777" w:rsidR="00A4706D" w:rsidRPr="001C64EB" w:rsidRDefault="00A4706D" w:rsidP="00A4706D">
      <w:pPr>
        <w:pStyle w:val="Akapitzlist"/>
        <w:numPr>
          <w:ilvl w:val="0"/>
          <w:numId w:val="1"/>
        </w:numPr>
      </w:pPr>
      <w:r w:rsidRPr="001C64EB">
        <w:t>spółdzielnie mieszkaniowe;</w:t>
      </w:r>
    </w:p>
    <w:p w14:paraId="5C7777D3" w14:textId="77777777" w:rsidR="00A4706D" w:rsidRPr="001C64EB" w:rsidRDefault="00A4706D" w:rsidP="00A4706D">
      <w:pPr>
        <w:pStyle w:val="Akapitzlist"/>
        <w:numPr>
          <w:ilvl w:val="0"/>
          <w:numId w:val="1"/>
        </w:numPr>
      </w:pPr>
      <w:r w:rsidRPr="001C64EB">
        <w:t>towarzystwa budownictwa społecznego</w:t>
      </w:r>
    </w:p>
    <w:p w14:paraId="00398C18" w14:textId="77777777" w:rsidR="00A4706D" w:rsidRPr="001C64EB" w:rsidRDefault="00A4706D" w:rsidP="00A4706D"/>
    <w:p w14:paraId="2D92EE59" w14:textId="145AF36E" w:rsidR="00A4706D" w:rsidRPr="001C64EB" w:rsidRDefault="00A4706D" w:rsidP="00A4706D">
      <w:r w:rsidRPr="001C64EB">
        <w:t xml:space="preserve">z wyłączeniem osób/podmiotów: </w:t>
      </w:r>
    </w:p>
    <w:p w14:paraId="78CE8D97" w14:textId="77777777" w:rsidR="00A4706D" w:rsidRPr="001C64EB" w:rsidRDefault="00A4706D" w:rsidP="00E71A28">
      <w:pPr>
        <w:pStyle w:val="Akapitzlist"/>
        <w:numPr>
          <w:ilvl w:val="0"/>
          <w:numId w:val="1"/>
        </w:numPr>
      </w:pPr>
      <w:r w:rsidRPr="001C64EB">
        <w:lastRenderedPageBreak/>
        <w:t>które zostali wykluczone z możliwości otrzymania środków przeznaczonych na realizację programów finansowanych z udziałem środków europejskich, na podstawie art. 207 o finansach publicznych;</w:t>
      </w:r>
    </w:p>
    <w:p w14:paraId="271AE214" w14:textId="77777777" w:rsidR="00A4706D" w:rsidRPr="001C64EB" w:rsidRDefault="00A4706D" w:rsidP="00E71A28">
      <w:pPr>
        <w:pStyle w:val="Akapitzlist"/>
        <w:numPr>
          <w:ilvl w:val="0"/>
          <w:numId w:val="1"/>
        </w:numPr>
      </w:pPr>
      <w:r w:rsidRPr="001C64EB">
        <w:t>na których ciąży obowiązek zwrotu pomocy wynikający z decyzji KE uznającej pomoc za niezgodną z prawem oraz ze wspólnym rynkiem w rozumieniu art. 107 TFUE;</w:t>
      </w:r>
    </w:p>
    <w:p w14:paraId="4D5FD56F" w14:textId="77777777" w:rsidR="00A4706D" w:rsidRPr="001C64EB" w:rsidRDefault="00A4706D" w:rsidP="00E71A28">
      <w:pPr>
        <w:pStyle w:val="Akapitzlist"/>
        <w:numPr>
          <w:ilvl w:val="0"/>
          <w:numId w:val="1"/>
        </w:numPr>
      </w:pPr>
      <w:r w:rsidRPr="001C64EB">
        <w:t>karanych na mocy zapisów ustawy z dnia 15 czerwca 2012 r. o skutkach powierzania wykonywania pracy cudzoziemcom przebywającym wbrew przepisom na terytorium Rzeczpospolitej Polskiej (Dz. U. z 2012 r. poz. 769), zakazem dostępu do środków, o których mowa w art. 5 ust. 3 pkt. 1 i 4 ustawy z dnia 27 sierpnia 2009 r. o finansach publicznych (tj. Dz. U. z 2013 r. poz. 885 ze zm.)</w:t>
      </w:r>
    </w:p>
    <w:p w14:paraId="708BD7B1" w14:textId="77777777" w:rsidR="00A4706D" w:rsidRPr="001C64EB" w:rsidRDefault="00A4706D" w:rsidP="00E71A28">
      <w:pPr>
        <w:pStyle w:val="Akapitzlist"/>
        <w:numPr>
          <w:ilvl w:val="0"/>
          <w:numId w:val="1"/>
        </w:numPr>
      </w:pPr>
      <w:r w:rsidRPr="001C64EB">
        <w:t>karanych na podstawie art. 9 ust. 1 pkt. 2a ustawy z dnia 28 października 2002 r. o odpowiedzialności podmiotów zbiorowych za czyny zabronione pod groźbą kary (tj. Dz. U. 2015 r. poz. 1212).</w:t>
      </w:r>
    </w:p>
    <w:p w14:paraId="3FDE8F5F" w14:textId="3AFDD353" w:rsidR="00A4706D" w:rsidRPr="001C64EB" w:rsidRDefault="00A4706D" w:rsidP="00E71A28">
      <w:pPr>
        <w:pStyle w:val="Akapitzlist"/>
        <w:numPr>
          <w:ilvl w:val="0"/>
          <w:numId w:val="1"/>
        </w:numPr>
      </w:pPr>
      <w:r w:rsidRPr="001C64EB">
        <w:t xml:space="preserve">którzy na dzień składania wniosku o grant jak i na dzień udzielenia pomocy posiadają zaległości podatkowych na rzecz Gminy wg właściwości miejscowej ze względu na lokalizację inwestycji </w:t>
      </w:r>
      <w:proofErr w:type="spellStart"/>
      <w:r w:rsidRPr="001C64EB">
        <w:t>Grantobiorcy</w:t>
      </w:r>
      <w:proofErr w:type="spellEnd"/>
      <w:r w:rsidRPr="001C64EB">
        <w:t xml:space="preserve"> (np. podatek rolny/od nieruchomości inne opłacane na rzecz Gminy).</w:t>
      </w:r>
    </w:p>
    <w:p w14:paraId="76205910" w14:textId="6A5EAD5C" w:rsidR="00E71A28" w:rsidRPr="001C64EB" w:rsidRDefault="00E71A28" w:rsidP="00E71A28">
      <w:pPr>
        <w:pStyle w:val="Akapitzlist"/>
        <w:numPr>
          <w:ilvl w:val="0"/>
          <w:numId w:val="32"/>
        </w:numPr>
        <w:ind w:left="426" w:hanging="426"/>
      </w:pPr>
      <w:proofErr w:type="spellStart"/>
      <w:r w:rsidRPr="001C64EB">
        <w:t>Grantobiorca</w:t>
      </w:r>
      <w:proofErr w:type="spellEnd"/>
      <w:r w:rsidRPr="001C64EB">
        <w:t xml:space="preserve"> ma prawo przenieść własność na inną osobę/ podmiot. Jednakże w umowie o powierzenie grantów zawarto zapisy obligujące do zachowania zasad przeniesienia. Osoba fizyczna/ podmiot przejmujący w/w prawo do dysponowania nieruchomością w wyniku sprzedaży nieruchomości musi podpisać stosowną Umowę o powierzenie Grantu. Niepodpisanie umowy o powierzenie grantu przez osobę/ podmiot, na który przenoszone są prawa, niezależnie od przyczyn niepodpisania tej Umowy skutkować będzie koniecznością zwrotu wypłaconego grantu wraz z odsetkami. </w:t>
      </w:r>
      <w:proofErr w:type="spellStart"/>
      <w:r w:rsidRPr="001C64EB">
        <w:t>Grantobiorca</w:t>
      </w:r>
      <w:proofErr w:type="spellEnd"/>
      <w:r w:rsidRPr="001C64EB">
        <w:t xml:space="preserve"> zbywający prawo do dysponowania nieruchomością musi udowodnić wiarygodnie, że cena sprzedaży nieruchomości nie zawiera kosztów budowy/ zainstalowania instalacji objętej Grantem.</w:t>
      </w:r>
    </w:p>
    <w:p w14:paraId="0C51B726" w14:textId="75300914" w:rsidR="00F40C52" w:rsidRPr="001C64EB" w:rsidRDefault="00C60FA4" w:rsidP="006919C0">
      <w:pPr>
        <w:pStyle w:val="Nagwek1"/>
        <w:rPr>
          <w:color w:val="auto"/>
        </w:rPr>
      </w:pPr>
      <w:bookmarkStart w:id="6" w:name="_Toc7251556"/>
      <w:r w:rsidRPr="001C64EB">
        <w:rPr>
          <w:color w:val="auto"/>
        </w:rPr>
        <w:t>5. </w:t>
      </w:r>
      <w:r w:rsidR="00F40C52" w:rsidRPr="001C64EB">
        <w:rPr>
          <w:color w:val="auto"/>
        </w:rPr>
        <w:t>Informacja o przeznaczeniu grantów, wydatki kwalifikowane w projekcie</w:t>
      </w:r>
      <w:bookmarkEnd w:id="5"/>
      <w:bookmarkEnd w:id="6"/>
    </w:p>
    <w:p w14:paraId="35EBD724" w14:textId="77777777" w:rsidR="00F40C52" w:rsidRPr="001C64EB" w:rsidRDefault="00F40C52" w:rsidP="00707D93">
      <w:pPr>
        <w:pStyle w:val="Akapitzlist"/>
        <w:numPr>
          <w:ilvl w:val="0"/>
          <w:numId w:val="9"/>
        </w:numPr>
        <w:rPr>
          <w:rFonts w:cs="Tahoma"/>
          <w:szCs w:val="18"/>
        </w:rPr>
      </w:pPr>
      <w:r w:rsidRPr="001C64EB">
        <w:rPr>
          <w:rFonts w:cs="Tahoma"/>
          <w:szCs w:val="18"/>
        </w:rPr>
        <w:t xml:space="preserve">Środki finansowe powierzonego Grantu przeznaczone są na realizację zadań przez </w:t>
      </w:r>
      <w:proofErr w:type="spellStart"/>
      <w:r w:rsidRPr="001C64EB">
        <w:rPr>
          <w:rFonts w:cs="Tahoma"/>
          <w:szCs w:val="18"/>
        </w:rPr>
        <w:t>Grantobiorców</w:t>
      </w:r>
      <w:proofErr w:type="spellEnd"/>
      <w:r w:rsidRPr="001C64EB">
        <w:rPr>
          <w:rFonts w:cs="Tahoma"/>
          <w:szCs w:val="18"/>
        </w:rPr>
        <w:t xml:space="preserve"> zmierzających do osiągnięcia celów Projektu grantowego.</w:t>
      </w:r>
    </w:p>
    <w:p w14:paraId="33A94B9B" w14:textId="77777777" w:rsidR="00F40C52" w:rsidRPr="001C64EB" w:rsidRDefault="00F40C52" w:rsidP="00707D93">
      <w:pPr>
        <w:pStyle w:val="Akapitzlist"/>
        <w:numPr>
          <w:ilvl w:val="0"/>
          <w:numId w:val="9"/>
        </w:numPr>
        <w:rPr>
          <w:rFonts w:cs="Tahoma"/>
          <w:b/>
          <w:szCs w:val="18"/>
        </w:rPr>
      </w:pPr>
      <w:r w:rsidRPr="001C64EB">
        <w:rPr>
          <w:rFonts w:cs="Tahoma"/>
          <w:b/>
          <w:szCs w:val="18"/>
        </w:rPr>
        <w:t>Typy projektów - w ramach Projektu grantowego, granty można otrzymać na:</w:t>
      </w:r>
    </w:p>
    <w:p w14:paraId="00C656C0" w14:textId="1758C7D5" w:rsidR="00F40C52" w:rsidRPr="001C64EB" w:rsidRDefault="00F40C52" w:rsidP="00361E72">
      <w:pPr>
        <w:pStyle w:val="Akapitzlist"/>
        <w:numPr>
          <w:ilvl w:val="0"/>
          <w:numId w:val="11"/>
        </w:numPr>
        <w:rPr>
          <w:rFonts w:cs="Tahoma"/>
          <w:szCs w:val="18"/>
        </w:rPr>
      </w:pPr>
      <w:r w:rsidRPr="001C64EB">
        <w:rPr>
          <w:rFonts w:cs="Tahoma"/>
        </w:rPr>
        <w:t>Element obowiązkowy: modernizacj</w:t>
      </w:r>
      <w:r w:rsidR="008532AC" w:rsidRPr="001C64EB">
        <w:rPr>
          <w:rFonts w:cs="Tahoma"/>
        </w:rPr>
        <w:t>a</w:t>
      </w:r>
      <w:r w:rsidRPr="001C64EB">
        <w:rPr>
          <w:rFonts w:cs="Tahoma"/>
        </w:rPr>
        <w:t xml:space="preserve"> systemów grzewczych obejmującą wymianę wysokoemisyjnych źródeł ciepła: na podłączenie do sieci ciepłowniczej/ chłodniczej lub instalację źródeł ciepła opartych o OZE (np. pomp ciepła) lub instalację kotłów spalających biomasę, lub ewentualnie paliwa gazowe (wymianie nie podlegają użytkowane kotły gazowe i olejowe, nie dopuszcza się też wymiany użytkowanych kotłów innych niż gazowe i olejowe na kotły węglowe i olejowe);</w:t>
      </w:r>
      <w:r w:rsidR="00361E72" w:rsidRPr="001C64EB">
        <w:rPr>
          <w:rFonts w:cs="Tahoma"/>
        </w:rPr>
        <w:t xml:space="preserve"> dopuszcza się również zastosowanie ogrzewania elektrycznego (kable / maty grzejne, kotły elektryczne, piece akumulacyjne itp.), pod warunkiem, że będzie ono zasilane z OZE – </w:t>
      </w:r>
      <w:proofErr w:type="spellStart"/>
      <w:r w:rsidR="00361E72" w:rsidRPr="001C64EB">
        <w:rPr>
          <w:rFonts w:cs="Tahoma"/>
        </w:rPr>
        <w:t>mikroinstalacja</w:t>
      </w:r>
      <w:proofErr w:type="spellEnd"/>
      <w:r w:rsidR="00361E72" w:rsidRPr="001C64EB">
        <w:rPr>
          <w:rStyle w:val="Odwoanieprzypisudolnego"/>
          <w:rFonts w:cs="Tahoma"/>
        </w:rPr>
        <w:footnoteReference w:id="6"/>
      </w:r>
      <w:r w:rsidR="00361E72" w:rsidRPr="001C64EB">
        <w:rPr>
          <w:rFonts w:cs="Tahoma"/>
        </w:rPr>
        <w:t xml:space="preserve"> o odpowiedniej mocy może zostać zrealizowana w ramach projektu (można również wykorzystać już istniejącą instalację); </w:t>
      </w:r>
      <w:r w:rsidRPr="001C64EB">
        <w:rPr>
          <w:rFonts w:cs="Tahoma"/>
          <w:b/>
        </w:rPr>
        <w:t>wymiana wysokoemisyjnego źródła ciepła jest elementem obowiązkowym</w:t>
      </w:r>
      <w:r w:rsidRPr="001C64EB">
        <w:rPr>
          <w:rFonts w:cs="Tahoma"/>
        </w:rPr>
        <w:t>;</w:t>
      </w:r>
    </w:p>
    <w:p w14:paraId="53FAA445" w14:textId="77777777" w:rsidR="00F40C52" w:rsidRPr="001C64EB" w:rsidRDefault="00F40C52" w:rsidP="00707D93">
      <w:pPr>
        <w:pStyle w:val="Akapitzlist"/>
        <w:numPr>
          <w:ilvl w:val="0"/>
          <w:numId w:val="11"/>
        </w:numPr>
        <w:rPr>
          <w:rFonts w:cs="Tahoma"/>
          <w:szCs w:val="18"/>
        </w:rPr>
      </w:pPr>
      <w:r w:rsidRPr="001C64EB">
        <w:rPr>
          <w:rFonts w:cs="Tahoma"/>
        </w:rPr>
        <w:t>Elementy dodatkowe możliwe do sfinansowania pod warunkiem wymiany wysokoemisyjnego źródła ciepła:</w:t>
      </w:r>
    </w:p>
    <w:p w14:paraId="517CBE76" w14:textId="77777777" w:rsidR="00F40C52" w:rsidRPr="001C64EB" w:rsidRDefault="00F40C52" w:rsidP="00707D93">
      <w:pPr>
        <w:pStyle w:val="Akapitzlist"/>
        <w:numPr>
          <w:ilvl w:val="0"/>
          <w:numId w:val="12"/>
        </w:numPr>
        <w:rPr>
          <w:rFonts w:cs="Tahoma"/>
          <w:szCs w:val="18"/>
        </w:rPr>
      </w:pPr>
      <w:r w:rsidRPr="001C64EB">
        <w:rPr>
          <w:rFonts w:cs="Tahoma"/>
        </w:rPr>
        <w:t>wymianie źródła ciepła mogą towarzyszyć uzasadnione modernizacje systemu grzewczego pozostające w związku przyczynowo - skutkowym ze zmianą źródła ciepła, np. wymiana wysokotemperaturowej instalacji ogrzewania na niskotemperaturową;</w:t>
      </w:r>
    </w:p>
    <w:p w14:paraId="5552A8A5" w14:textId="77777777" w:rsidR="00F40C52" w:rsidRPr="001C64EB" w:rsidRDefault="00F40C52" w:rsidP="00707D93">
      <w:pPr>
        <w:pStyle w:val="Akapitzlist"/>
        <w:numPr>
          <w:ilvl w:val="0"/>
          <w:numId w:val="12"/>
        </w:numPr>
        <w:rPr>
          <w:rFonts w:cs="Tahoma"/>
          <w:szCs w:val="18"/>
        </w:rPr>
      </w:pPr>
      <w:r w:rsidRPr="001C64EB">
        <w:rPr>
          <w:rFonts w:cs="Tahoma"/>
        </w:rPr>
        <w:lastRenderedPageBreak/>
        <w:t>wsparcie może dotyczyć również systemów monitoringu i zarządzania energią (termostaty, czujniki temperatury, pogodowe, obecności, sterowniki, automatyczne układy regulacji, aplikacje komputerowe, gotowe systemy, urządzenia pomiarowe itp.) mające na celu zmniejszenie zużycia energii poprzez dostosowanie mocy urządzeń do chwilowego zapotrzebowania;</w:t>
      </w:r>
    </w:p>
    <w:p w14:paraId="5F1CABF7" w14:textId="77777777" w:rsidR="00F40C52" w:rsidRPr="001C64EB" w:rsidRDefault="00F40C52" w:rsidP="00707D93">
      <w:pPr>
        <w:pStyle w:val="Akapitzlist"/>
        <w:numPr>
          <w:ilvl w:val="0"/>
          <w:numId w:val="12"/>
        </w:numPr>
        <w:rPr>
          <w:rFonts w:cs="Tahoma"/>
          <w:szCs w:val="18"/>
        </w:rPr>
      </w:pPr>
      <w:r w:rsidRPr="001C64EB">
        <w:rPr>
          <w:rFonts w:cs="Tahoma"/>
        </w:rPr>
        <w:t xml:space="preserve">inwestycje mogą być uzupełnione poprzez instalacje OZE (np. na potrzeby pozyskiwania ciepłej wody użytkowej lub produkcji energii elektrycznej, np. </w:t>
      </w:r>
      <w:proofErr w:type="spellStart"/>
      <w:r w:rsidRPr="001C64EB">
        <w:rPr>
          <w:rFonts w:cs="Tahoma"/>
        </w:rPr>
        <w:t>fotowoltaiki</w:t>
      </w:r>
      <w:proofErr w:type="spellEnd"/>
      <w:r w:rsidRPr="001C64EB">
        <w:rPr>
          <w:rFonts w:cs="Tahoma"/>
        </w:rPr>
        <w:t xml:space="preserve">) – w przypadku instalacji do produkcji energii elektrycznej, np. fotowoltaicznej czy wykorzystującej siłę wiatru, dopuszcza się </w:t>
      </w:r>
      <w:proofErr w:type="spellStart"/>
      <w:r w:rsidRPr="001C64EB">
        <w:rPr>
          <w:rFonts w:cs="Tahoma"/>
        </w:rPr>
        <w:t>mikroinstalacje</w:t>
      </w:r>
      <w:proofErr w:type="spellEnd"/>
      <w:r w:rsidRPr="001C64EB">
        <w:rPr>
          <w:rStyle w:val="Odwoanieprzypisudolnego"/>
          <w:rFonts w:cs="Tahoma"/>
        </w:rPr>
        <w:footnoteReference w:id="7"/>
      </w:r>
      <w:r w:rsidRPr="001C64EB">
        <w:rPr>
          <w:rFonts w:cs="Tahoma"/>
        </w:rPr>
        <w:t>,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14:paraId="69FDFD64" w14:textId="77777777" w:rsidR="00F40C52" w:rsidRPr="001C64EB" w:rsidRDefault="00F40C52" w:rsidP="00707D93">
      <w:pPr>
        <w:pStyle w:val="Akapitzlist"/>
        <w:numPr>
          <w:ilvl w:val="0"/>
          <w:numId w:val="9"/>
        </w:numPr>
        <w:rPr>
          <w:rFonts w:cs="Tahoma"/>
          <w:szCs w:val="18"/>
        </w:rPr>
      </w:pPr>
      <w:r w:rsidRPr="001C64EB">
        <w:rPr>
          <w:rFonts w:cs="Tahoma"/>
          <w:szCs w:val="18"/>
        </w:rPr>
        <w:t>Do oceny kwalifikowalności wydatków dla projektów współfinansowanych ze środków krajowych i unijnych w ramach RPO WO 2014-2020 określają przepisy unijne oraz krajowe, w tym w szczególności:</w:t>
      </w:r>
    </w:p>
    <w:p w14:paraId="4FEEDD4A" w14:textId="19857A6A" w:rsidR="00F40C52" w:rsidRPr="001C64EB" w:rsidRDefault="00F40C52" w:rsidP="00707D93">
      <w:pPr>
        <w:pStyle w:val="Akapitzlist"/>
        <w:numPr>
          <w:ilvl w:val="3"/>
          <w:numId w:val="8"/>
        </w:numPr>
        <w:autoSpaceDE w:val="0"/>
        <w:autoSpaceDN w:val="0"/>
        <w:adjustRightInd w:val="0"/>
        <w:spacing w:after="100" w:afterAutospacing="1"/>
        <w:ind w:left="1276" w:hanging="283"/>
        <w:rPr>
          <w:rFonts w:cs="Tahoma"/>
          <w:szCs w:val="18"/>
          <w:vertAlign w:val="superscript"/>
        </w:rPr>
      </w:pPr>
      <w:r w:rsidRPr="001C64EB">
        <w:rPr>
          <w:rFonts w:cs="Tahoma"/>
          <w:szCs w:val="18"/>
        </w:rPr>
        <w:t>Rozporządzenie ogólne</w:t>
      </w:r>
      <w:r w:rsidRPr="001C64EB">
        <w:rPr>
          <w:rFonts w:cs="Tahoma"/>
          <w:szCs w:val="18"/>
          <w:vertAlign w:val="superscript"/>
        </w:rPr>
        <w:footnoteReference w:id="8"/>
      </w:r>
      <w:r w:rsidR="00EE161F" w:rsidRPr="001C64EB">
        <w:rPr>
          <w:rFonts w:cs="Tahoma"/>
          <w:szCs w:val="18"/>
        </w:rPr>
        <w:t>;</w:t>
      </w:r>
    </w:p>
    <w:p w14:paraId="19AC324E" w14:textId="30B5E9DC" w:rsidR="00F40C52" w:rsidRPr="001C64EB" w:rsidRDefault="00F40C52" w:rsidP="00707D93">
      <w:pPr>
        <w:pStyle w:val="Akapitzlist"/>
        <w:numPr>
          <w:ilvl w:val="3"/>
          <w:numId w:val="8"/>
        </w:numPr>
        <w:autoSpaceDE w:val="0"/>
        <w:autoSpaceDN w:val="0"/>
        <w:adjustRightInd w:val="0"/>
        <w:spacing w:after="100" w:afterAutospacing="1"/>
        <w:ind w:left="1276" w:hanging="283"/>
        <w:rPr>
          <w:rFonts w:cs="Tahoma"/>
          <w:szCs w:val="18"/>
          <w:vertAlign w:val="superscript"/>
        </w:rPr>
      </w:pPr>
      <w:r w:rsidRPr="001C64EB">
        <w:rPr>
          <w:rFonts w:cs="Tahoma"/>
          <w:szCs w:val="18"/>
        </w:rPr>
        <w:t>Ustawa wdrożeniowa</w:t>
      </w:r>
      <w:r w:rsidRPr="001C64EB">
        <w:rPr>
          <w:rFonts w:cs="Tahoma"/>
          <w:szCs w:val="18"/>
          <w:vertAlign w:val="superscript"/>
        </w:rPr>
        <w:footnoteReference w:id="9"/>
      </w:r>
      <w:r w:rsidR="00EE161F" w:rsidRPr="001C64EB">
        <w:rPr>
          <w:rFonts w:cs="Tahoma"/>
          <w:szCs w:val="18"/>
        </w:rPr>
        <w:t>;</w:t>
      </w:r>
    </w:p>
    <w:p w14:paraId="7E12ACAE" w14:textId="4DD95CFC" w:rsidR="00F40C52" w:rsidRPr="001C64EB" w:rsidRDefault="00F40C52" w:rsidP="00707D93">
      <w:pPr>
        <w:pStyle w:val="Akapitzlist"/>
        <w:numPr>
          <w:ilvl w:val="3"/>
          <w:numId w:val="8"/>
        </w:numPr>
        <w:autoSpaceDE w:val="0"/>
        <w:autoSpaceDN w:val="0"/>
        <w:adjustRightInd w:val="0"/>
        <w:spacing w:after="100" w:afterAutospacing="1"/>
        <w:ind w:left="1276" w:hanging="283"/>
        <w:rPr>
          <w:rFonts w:cs="Tahoma"/>
          <w:szCs w:val="18"/>
        </w:rPr>
      </w:pPr>
      <w:r w:rsidRPr="001C64EB">
        <w:rPr>
          <w:rFonts w:cs="Tahoma"/>
          <w:szCs w:val="18"/>
        </w:rPr>
        <w:t>Wytyczne Ministra Infrastruktury i Rozwoju w zakresie kwalifikowalności wydatków w ramach Europejskiego Funduszu Rozwoju Regionalnego, Europejskiego Funduszu Społecznego oraz Funduszu Spójności na lata 2014-2020</w:t>
      </w:r>
      <w:r w:rsidR="00EE161F" w:rsidRPr="001C64EB">
        <w:rPr>
          <w:rFonts w:cs="Tahoma"/>
          <w:szCs w:val="18"/>
        </w:rPr>
        <w:t>;</w:t>
      </w:r>
    </w:p>
    <w:p w14:paraId="2D7780F4" w14:textId="26D11500" w:rsidR="00F40C52" w:rsidRPr="001C64EB" w:rsidRDefault="00EE161F" w:rsidP="00707D93">
      <w:pPr>
        <w:pStyle w:val="Akapitzlist"/>
        <w:numPr>
          <w:ilvl w:val="3"/>
          <w:numId w:val="8"/>
        </w:numPr>
        <w:autoSpaceDE w:val="0"/>
        <w:autoSpaceDN w:val="0"/>
        <w:adjustRightInd w:val="0"/>
        <w:spacing w:after="100" w:afterAutospacing="1"/>
        <w:ind w:left="1276" w:hanging="283"/>
        <w:rPr>
          <w:rFonts w:cs="Tahoma"/>
          <w:szCs w:val="18"/>
        </w:rPr>
      </w:pPr>
      <w:r w:rsidRPr="001C64EB">
        <w:rPr>
          <w:rFonts w:cs="Tahoma"/>
          <w:szCs w:val="18"/>
        </w:rPr>
        <w:t xml:space="preserve">Szczegółowy Opis Osi Priorytetowych oraz </w:t>
      </w:r>
      <w:r w:rsidR="00F40C52" w:rsidRPr="001C64EB">
        <w:rPr>
          <w:rFonts w:cs="Tahoma"/>
          <w:szCs w:val="18"/>
        </w:rPr>
        <w:t>załącznik nr 7 do SZOOP</w:t>
      </w:r>
      <w:r w:rsidRPr="001C64EB">
        <w:rPr>
          <w:rFonts w:cs="Tahoma"/>
          <w:szCs w:val="18"/>
        </w:rPr>
        <w:t>;</w:t>
      </w:r>
    </w:p>
    <w:p w14:paraId="5C9AE04A" w14:textId="79A6624B" w:rsidR="00F40C52" w:rsidRPr="001C64EB" w:rsidRDefault="00F40C52" w:rsidP="00707D93">
      <w:pPr>
        <w:pStyle w:val="Akapitzlist"/>
        <w:numPr>
          <w:ilvl w:val="3"/>
          <w:numId w:val="8"/>
        </w:numPr>
        <w:autoSpaceDE w:val="0"/>
        <w:autoSpaceDN w:val="0"/>
        <w:adjustRightInd w:val="0"/>
        <w:spacing w:after="100" w:afterAutospacing="1"/>
        <w:ind w:left="1276" w:hanging="283"/>
        <w:rPr>
          <w:rFonts w:cs="Tahoma"/>
          <w:szCs w:val="18"/>
        </w:rPr>
      </w:pPr>
      <w:r w:rsidRPr="001C64EB">
        <w:rPr>
          <w:rFonts w:cs="Tahoma"/>
          <w:szCs w:val="18"/>
        </w:rPr>
        <w:t>zasady dot</w:t>
      </w:r>
      <w:r w:rsidR="00C60FA4" w:rsidRPr="001C64EB">
        <w:rPr>
          <w:rFonts w:cs="Tahoma"/>
          <w:szCs w:val="18"/>
        </w:rPr>
        <w:t xml:space="preserve">yczące </w:t>
      </w:r>
      <w:r w:rsidRPr="001C64EB">
        <w:rPr>
          <w:rFonts w:cs="Tahoma"/>
          <w:szCs w:val="18"/>
        </w:rPr>
        <w:t>pomocy publicznej</w:t>
      </w:r>
      <w:r w:rsidR="00EE161F" w:rsidRPr="001C64EB">
        <w:rPr>
          <w:rFonts w:cs="Tahoma"/>
          <w:szCs w:val="18"/>
        </w:rPr>
        <w:t>;</w:t>
      </w:r>
    </w:p>
    <w:p w14:paraId="3C9B53F2" w14:textId="77777777" w:rsidR="00F40C52" w:rsidRPr="001C64EB" w:rsidRDefault="00F40C52" w:rsidP="00707D93">
      <w:pPr>
        <w:pStyle w:val="Akapitzlist"/>
        <w:numPr>
          <w:ilvl w:val="3"/>
          <w:numId w:val="8"/>
        </w:numPr>
        <w:autoSpaceDE w:val="0"/>
        <w:autoSpaceDN w:val="0"/>
        <w:adjustRightInd w:val="0"/>
        <w:spacing w:after="100" w:afterAutospacing="1"/>
        <w:ind w:left="1276" w:hanging="283"/>
        <w:rPr>
          <w:rFonts w:cs="Tahoma"/>
          <w:szCs w:val="18"/>
        </w:rPr>
      </w:pPr>
      <w:r w:rsidRPr="001C64EB">
        <w:rPr>
          <w:rFonts w:cs="Tahoma"/>
          <w:szCs w:val="18"/>
        </w:rPr>
        <w:t>Zalecenia Instytucji Zarządzającej Regionalnym Programem Operacyjnym Województwa Dolnośląskiego 2014-2020 do realizacji projektów grantowych w ramach działania 3.3.</w:t>
      </w:r>
    </w:p>
    <w:p w14:paraId="2DF03552" w14:textId="09264F4C" w:rsidR="00F40C52" w:rsidRPr="001C64EB" w:rsidRDefault="00F40C52" w:rsidP="00707D93">
      <w:pPr>
        <w:pStyle w:val="Akapitzlist"/>
        <w:numPr>
          <w:ilvl w:val="3"/>
          <w:numId w:val="8"/>
        </w:numPr>
        <w:autoSpaceDE w:val="0"/>
        <w:autoSpaceDN w:val="0"/>
        <w:adjustRightInd w:val="0"/>
        <w:spacing w:after="100" w:afterAutospacing="1"/>
        <w:ind w:left="1276" w:hanging="283"/>
        <w:rPr>
          <w:rFonts w:cs="Tahoma"/>
          <w:szCs w:val="18"/>
        </w:rPr>
      </w:pPr>
      <w:r w:rsidRPr="001C64EB">
        <w:rPr>
          <w:rFonts w:cs="Tahoma"/>
          <w:szCs w:val="18"/>
        </w:rPr>
        <w:t xml:space="preserve">umowa o dofinansowanie realizacji projektu grantowego podpisana pomiędzy </w:t>
      </w:r>
      <w:proofErr w:type="spellStart"/>
      <w:r w:rsidR="00EE161F" w:rsidRPr="001C64EB">
        <w:rPr>
          <w:rFonts w:cs="Tahoma"/>
          <w:szCs w:val="18"/>
        </w:rPr>
        <w:t>Grantodawc</w:t>
      </w:r>
      <w:r w:rsidR="00B82A51" w:rsidRPr="001C64EB">
        <w:rPr>
          <w:rFonts w:cs="Tahoma"/>
          <w:szCs w:val="18"/>
        </w:rPr>
        <w:t>ą</w:t>
      </w:r>
      <w:proofErr w:type="spellEnd"/>
      <w:r w:rsidR="00EE161F" w:rsidRPr="001C64EB">
        <w:rPr>
          <w:rFonts w:cs="Tahoma"/>
          <w:szCs w:val="18"/>
        </w:rPr>
        <w:t xml:space="preserve"> </w:t>
      </w:r>
      <w:r w:rsidRPr="001C64EB">
        <w:rPr>
          <w:rFonts w:cs="Tahoma"/>
          <w:szCs w:val="18"/>
        </w:rPr>
        <w:t xml:space="preserve">oraz DIP; </w:t>
      </w:r>
    </w:p>
    <w:p w14:paraId="733A4C6C" w14:textId="4B663399" w:rsidR="00F40C52" w:rsidRPr="001C64EB" w:rsidRDefault="00F40C52" w:rsidP="00707D93">
      <w:pPr>
        <w:pStyle w:val="Akapitzlist"/>
        <w:numPr>
          <w:ilvl w:val="3"/>
          <w:numId w:val="8"/>
        </w:numPr>
        <w:autoSpaceDE w:val="0"/>
        <w:autoSpaceDN w:val="0"/>
        <w:adjustRightInd w:val="0"/>
        <w:spacing w:after="100" w:afterAutospacing="1"/>
        <w:ind w:left="1276" w:hanging="283"/>
        <w:rPr>
          <w:rFonts w:cs="Tahoma"/>
          <w:szCs w:val="18"/>
        </w:rPr>
      </w:pPr>
      <w:r w:rsidRPr="001C64EB">
        <w:rPr>
          <w:rFonts w:cs="Tahoma"/>
          <w:szCs w:val="18"/>
        </w:rPr>
        <w:t>umowa o powierzenie Grantu</w:t>
      </w:r>
      <w:r w:rsidR="00B82A51" w:rsidRPr="001C64EB">
        <w:rPr>
          <w:rFonts w:cs="Tahoma"/>
          <w:szCs w:val="18"/>
        </w:rPr>
        <w:t xml:space="preserve"> podpisana pomiędzy </w:t>
      </w:r>
      <w:proofErr w:type="spellStart"/>
      <w:r w:rsidR="00B82A51" w:rsidRPr="001C64EB">
        <w:rPr>
          <w:rFonts w:cs="Tahoma"/>
          <w:szCs w:val="18"/>
        </w:rPr>
        <w:t>Grantodawcą</w:t>
      </w:r>
      <w:proofErr w:type="spellEnd"/>
      <w:r w:rsidR="00B82A51" w:rsidRPr="001C64EB">
        <w:rPr>
          <w:rFonts w:cs="Tahoma"/>
          <w:szCs w:val="18"/>
        </w:rPr>
        <w:t xml:space="preserve"> i </w:t>
      </w:r>
      <w:proofErr w:type="spellStart"/>
      <w:r w:rsidR="00B82A51" w:rsidRPr="001C64EB">
        <w:rPr>
          <w:rFonts w:cs="Tahoma"/>
          <w:szCs w:val="18"/>
        </w:rPr>
        <w:t>Grantobiorcą</w:t>
      </w:r>
      <w:proofErr w:type="spellEnd"/>
      <w:r w:rsidR="00B82A51" w:rsidRPr="001C64EB">
        <w:rPr>
          <w:rFonts w:cs="Tahoma"/>
          <w:szCs w:val="18"/>
        </w:rPr>
        <w:t>.</w:t>
      </w:r>
    </w:p>
    <w:p w14:paraId="1E92CFEF" w14:textId="77777777" w:rsidR="00F40C52" w:rsidRPr="001C64EB" w:rsidRDefault="00F40C52" w:rsidP="00707D93">
      <w:pPr>
        <w:pStyle w:val="Akapitzlist"/>
        <w:numPr>
          <w:ilvl w:val="0"/>
          <w:numId w:val="9"/>
        </w:numPr>
        <w:rPr>
          <w:rFonts w:cs="Tahoma"/>
          <w:szCs w:val="18"/>
        </w:rPr>
      </w:pPr>
      <w:r w:rsidRPr="001C64EB">
        <w:rPr>
          <w:rFonts w:cs="Tahoma"/>
          <w:szCs w:val="18"/>
        </w:rPr>
        <w:t>Wydatkiem kwalifikowalnym może być wydatek, który spełnia łącznie następujące warunki:</w:t>
      </w:r>
    </w:p>
    <w:p w14:paraId="013FD1AE" w14:textId="7C658714" w:rsidR="00F40C52" w:rsidRPr="001C64EB" w:rsidRDefault="00F40C52" w:rsidP="00707D93">
      <w:pPr>
        <w:pStyle w:val="Akapitzlist"/>
        <w:numPr>
          <w:ilvl w:val="0"/>
          <w:numId w:val="10"/>
        </w:numPr>
        <w:rPr>
          <w:rFonts w:cs="Tahoma"/>
          <w:szCs w:val="18"/>
        </w:rPr>
      </w:pPr>
      <w:r w:rsidRPr="001C64EB">
        <w:rPr>
          <w:rFonts w:cs="Tahoma"/>
          <w:szCs w:val="18"/>
        </w:rPr>
        <w:t xml:space="preserve">został faktycznie poniesiony w okresie wskazanym w umowie o </w:t>
      </w:r>
      <w:r w:rsidR="00340DAA" w:rsidRPr="001C64EB">
        <w:rPr>
          <w:rFonts w:cs="Tahoma"/>
          <w:szCs w:val="18"/>
        </w:rPr>
        <w:t>grant</w:t>
      </w:r>
      <w:r w:rsidRPr="001C64EB">
        <w:rPr>
          <w:rFonts w:cs="Tahoma"/>
          <w:szCs w:val="18"/>
        </w:rPr>
        <w:t>;</w:t>
      </w:r>
    </w:p>
    <w:p w14:paraId="085BA920" w14:textId="77777777" w:rsidR="00F40C52" w:rsidRPr="001C64EB" w:rsidRDefault="00F40C52" w:rsidP="00707D93">
      <w:pPr>
        <w:pStyle w:val="Akapitzlist"/>
        <w:numPr>
          <w:ilvl w:val="0"/>
          <w:numId w:val="10"/>
        </w:numPr>
        <w:rPr>
          <w:rFonts w:cs="Tahoma"/>
          <w:szCs w:val="18"/>
        </w:rPr>
      </w:pPr>
      <w:r w:rsidRPr="001C64EB">
        <w:rPr>
          <w:rFonts w:cs="Tahoma"/>
          <w:szCs w:val="18"/>
        </w:rPr>
        <w:t xml:space="preserve">jest zgodny z obowiązującymi przepisami prawa unijnego, krajowego w tym z przepisami regulującymi udzielanie pomocy de </w:t>
      </w:r>
      <w:proofErr w:type="spellStart"/>
      <w:r w:rsidRPr="001C64EB">
        <w:rPr>
          <w:rFonts w:cs="Tahoma"/>
          <w:szCs w:val="18"/>
        </w:rPr>
        <w:t>minimis</w:t>
      </w:r>
      <w:proofErr w:type="spellEnd"/>
      <w:r w:rsidRPr="001C64EB">
        <w:rPr>
          <w:rFonts w:cs="Tahoma"/>
          <w:szCs w:val="18"/>
        </w:rPr>
        <w:t>, jeśli mają zastosowanie;</w:t>
      </w:r>
    </w:p>
    <w:p w14:paraId="3F73EAD9" w14:textId="77777777" w:rsidR="00F40C52" w:rsidRPr="001C64EB" w:rsidRDefault="00F40C52" w:rsidP="00707D93">
      <w:pPr>
        <w:pStyle w:val="Akapitzlist"/>
        <w:numPr>
          <w:ilvl w:val="0"/>
          <w:numId w:val="10"/>
        </w:numPr>
        <w:rPr>
          <w:rFonts w:cs="Tahoma"/>
          <w:szCs w:val="18"/>
        </w:rPr>
      </w:pPr>
      <w:r w:rsidRPr="001C64EB">
        <w:rPr>
          <w:rFonts w:cs="Tahoma"/>
          <w:szCs w:val="18"/>
        </w:rPr>
        <w:t>jest zgodny z RPO WD i SZOOP;</w:t>
      </w:r>
    </w:p>
    <w:p w14:paraId="5D054AFA" w14:textId="77777777" w:rsidR="00F40C52" w:rsidRPr="001C64EB" w:rsidRDefault="00F40C52" w:rsidP="00707D93">
      <w:pPr>
        <w:pStyle w:val="Akapitzlist"/>
        <w:numPr>
          <w:ilvl w:val="0"/>
          <w:numId w:val="10"/>
        </w:numPr>
        <w:rPr>
          <w:rFonts w:cs="Tahoma"/>
          <w:szCs w:val="18"/>
        </w:rPr>
      </w:pPr>
      <w:r w:rsidRPr="001C64EB">
        <w:rPr>
          <w:rFonts w:cs="Tahoma"/>
          <w:szCs w:val="18"/>
        </w:rPr>
        <w:t>został uwzględniony w budżecie projektu;</w:t>
      </w:r>
    </w:p>
    <w:p w14:paraId="2F1A4D8F" w14:textId="77777777" w:rsidR="00F40C52" w:rsidRPr="001C64EB" w:rsidRDefault="00F40C52" w:rsidP="00707D93">
      <w:pPr>
        <w:pStyle w:val="Akapitzlist"/>
        <w:numPr>
          <w:ilvl w:val="0"/>
          <w:numId w:val="10"/>
        </w:numPr>
        <w:rPr>
          <w:rFonts w:cs="Tahoma"/>
          <w:szCs w:val="18"/>
        </w:rPr>
      </w:pPr>
      <w:r w:rsidRPr="001C64EB">
        <w:rPr>
          <w:rFonts w:cs="Tahoma"/>
          <w:szCs w:val="18"/>
        </w:rPr>
        <w:t>został poniesiony zgodnie z postanowieniami umowy o powierzenie grantu;</w:t>
      </w:r>
    </w:p>
    <w:p w14:paraId="1F1E40A4" w14:textId="77777777" w:rsidR="00F40C52" w:rsidRPr="001C64EB" w:rsidRDefault="00F40C52" w:rsidP="00707D93">
      <w:pPr>
        <w:pStyle w:val="Akapitzlist"/>
        <w:numPr>
          <w:ilvl w:val="0"/>
          <w:numId w:val="10"/>
        </w:numPr>
        <w:rPr>
          <w:rFonts w:cs="Tahoma"/>
          <w:szCs w:val="18"/>
        </w:rPr>
      </w:pPr>
      <w:r w:rsidRPr="001C64EB">
        <w:rPr>
          <w:rFonts w:cs="Tahoma"/>
          <w:szCs w:val="18"/>
        </w:rPr>
        <w:t>jest niezbędny do realizacji celów projektu i został poniesiony w związku z realizacją projektu;</w:t>
      </w:r>
    </w:p>
    <w:p w14:paraId="66A29750" w14:textId="77777777" w:rsidR="00F40C52" w:rsidRPr="001C64EB" w:rsidRDefault="00F40C52" w:rsidP="00707D93">
      <w:pPr>
        <w:pStyle w:val="Akapitzlist"/>
        <w:numPr>
          <w:ilvl w:val="0"/>
          <w:numId w:val="10"/>
        </w:numPr>
        <w:rPr>
          <w:rFonts w:cs="Tahoma"/>
          <w:szCs w:val="18"/>
        </w:rPr>
      </w:pPr>
      <w:r w:rsidRPr="001C64EB">
        <w:rPr>
          <w:rFonts w:cs="Tahoma"/>
          <w:szCs w:val="18"/>
        </w:rPr>
        <w:lastRenderedPageBreak/>
        <w:t>został dokonany w sposób przejrzysty, racjonalny i efektywny, z zachowaniem zasad uzyskiwania najlepszych efektów z danych nakładów;</w:t>
      </w:r>
    </w:p>
    <w:p w14:paraId="0693B9B3" w14:textId="77777777" w:rsidR="00F40C52" w:rsidRPr="001C64EB" w:rsidRDefault="00F40C52" w:rsidP="00707D93">
      <w:pPr>
        <w:pStyle w:val="Akapitzlist"/>
        <w:numPr>
          <w:ilvl w:val="0"/>
          <w:numId w:val="10"/>
        </w:numPr>
        <w:rPr>
          <w:rFonts w:cs="Tahoma"/>
          <w:szCs w:val="18"/>
        </w:rPr>
      </w:pPr>
      <w:r w:rsidRPr="001C64EB">
        <w:rPr>
          <w:rFonts w:cs="Tahoma"/>
          <w:szCs w:val="18"/>
        </w:rPr>
        <w:t>został należycie udokumentowany;</w:t>
      </w:r>
    </w:p>
    <w:p w14:paraId="6C47AF23" w14:textId="77777777" w:rsidR="00F40C52" w:rsidRPr="001C64EB" w:rsidRDefault="00F40C52" w:rsidP="00707D93">
      <w:pPr>
        <w:pStyle w:val="Akapitzlist"/>
        <w:numPr>
          <w:ilvl w:val="0"/>
          <w:numId w:val="10"/>
        </w:numPr>
        <w:rPr>
          <w:rFonts w:cs="Tahoma"/>
          <w:szCs w:val="18"/>
        </w:rPr>
      </w:pPr>
      <w:r w:rsidRPr="001C64EB">
        <w:rPr>
          <w:rFonts w:cs="Tahoma"/>
          <w:szCs w:val="18"/>
        </w:rPr>
        <w:t>został wykazany we wniosku o płatność;</w:t>
      </w:r>
    </w:p>
    <w:p w14:paraId="1516CAE0" w14:textId="77777777" w:rsidR="00F40C52" w:rsidRPr="001C64EB" w:rsidRDefault="00F40C52" w:rsidP="00707D93">
      <w:pPr>
        <w:pStyle w:val="Akapitzlist"/>
        <w:numPr>
          <w:ilvl w:val="0"/>
          <w:numId w:val="10"/>
        </w:numPr>
        <w:rPr>
          <w:rFonts w:cs="Tahoma"/>
          <w:szCs w:val="18"/>
        </w:rPr>
      </w:pPr>
      <w:r w:rsidRPr="001C64EB">
        <w:rPr>
          <w:rFonts w:cs="Tahoma"/>
          <w:szCs w:val="18"/>
        </w:rPr>
        <w:t>jest zgodny z warunkami uznania go za wydatek kwalifikowalny określony w krajowych „Wytycznych w zakresie kwalifikowalności…”; Zaleceniach Instytucji Zarządzającej Regionalnym Programem Operacyjnym Województwa Dolnośląskiego 2014-2020 do realizacji projektów grantowych w ramach działania 3.3 Efektywność energetyczna w budynkach użyteczności publicznej i sektorze mieszkaniowym Regionalnego Programu Operacyjnego Województwa Dolnośląskiego 2014-2020;  niniejszej Procedurze oraz Regulaminie konkursu;</w:t>
      </w:r>
    </w:p>
    <w:p w14:paraId="2671C247" w14:textId="79914228" w:rsidR="00F40C52" w:rsidRPr="001C64EB" w:rsidRDefault="00F40C52" w:rsidP="00707D93">
      <w:pPr>
        <w:pStyle w:val="Akapitzlist"/>
        <w:numPr>
          <w:ilvl w:val="0"/>
          <w:numId w:val="10"/>
        </w:numPr>
        <w:rPr>
          <w:rFonts w:cs="Tahoma"/>
          <w:szCs w:val="18"/>
        </w:rPr>
      </w:pPr>
      <w:r w:rsidRPr="001C64EB">
        <w:rPr>
          <w:rFonts w:cs="Tahoma"/>
          <w:szCs w:val="18"/>
        </w:rPr>
        <w:t xml:space="preserve">został poniesiony zgodnie z procedurą udzielania zamówień dla </w:t>
      </w:r>
      <w:proofErr w:type="spellStart"/>
      <w:r w:rsidRPr="001C64EB">
        <w:rPr>
          <w:rFonts w:cs="Tahoma"/>
          <w:szCs w:val="18"/>
        </w:rPr>
        <w:t>Grantobiorców</w:t>
      </w:r>
      <w:proofErr w:type="spellEnd"/>
      <w:r w:rsidRPr="001C64EB">
        <w:rPr>
          <w:rFonts w:cs="Tahoma"/>
          <w:szCs w:val="18"/>
        </w:rPr>
        <w:t xml:space="preserve"> - „Wytyczne dotyczące wyboru wykonawcy”.</w:t>
      </w:r>
    </w:p>
    <w:p w14:paraId="7536DB88" w14:textId="77777777" w:rsidR="00F40C52" w:rsidRPr="001C64EB" w:rsidRDefault="00F40C52" w:rsidP="00707D93">
      <w:pPr>
        <w:pStyle w:val="Akapitzlist"/>
        <w:numPr>
          <w:ilvl w:val="0"/>
          <w:numId w:val="9"/>
        </w:numPr>
        <w:rPr>
          <w:rFonts w:cs="Tahoma"/>
          <w:szCs w:val="18"/>
        </w:rPr>
      </w:pPr>
      <w:r w:rsidRPr="001C64EB">
        <w:rPr>
          <w:rFonts w:cs="Tahoma"/>
          <w:szCs w:val="18"/>
        </w:rPr>
        <w:t>Wydatkami kwalifikowalnymi niezbędnymi do realizacji projektu grantowego, są m.in.:</w:t>
      </w:r>
    </w:p>
    <w:p w14:paraId="5490E405" w14:textId="34642449" w:rsidR="00F40C52" w:rsidRPr="001C64EB" w:rsidRDefault="00F40C52" w:rsidP="00707D93">
      <w:pPr>
        <w:pStyle w:val="Akapitzlist"/>
        <w:numPr>
          <w:ilvl w:val="1"/>
          <w:numId w:val="13"/>
        </w:numPr>
        <w:rPr>
          <w:rFonts w:cs="Tahoma"/>
          <w:bCs/>
          <w:szCs w:val="18"/>
        </w:rPr>
      </w:pPr>
      <w:r w:rsidRPr="001C64EB">
        <w:rPr>
          <w:rFonts w:cs="Tahoma"/>
          <w:bCs/>
          <w:szCs w:val="18"/>
        </w:rPr>
        <w:t>wydatki związane z wymianą wysokoemisyjnego źródła ciepła czyli demontażem dotychczasowego pieca/ kotła</w:t>
      </w:r>
      <w:r w:rsidR="009C799A" w:rsidRPr="001C64EB">
        <w:rPr>
          <w:rFonts w:cs="Tahoma"/>
          <w:bCs/>
          <w:szCs w:val="18"/>
        </w:rPr>
        <w:t>;</w:t>
      </w:r>
    </w:p>
    <w:p w14:paraId="55887825" w14:textId="68737B25" w:rsidR="00F40C52" w:rsidRPr="001C64EB" w:rsidRDefault="00F40C52" w:rsidP="00707D93">
      <w:pPr>
        <w:pStyle w:val="Akapitzlist"/>
        <w:numPr>
          <w:ilvl w:val="1"/>
          <w:numId w:val="13"/>
        </w:numPr>
        <w:rPr>
          <w:rFonts w:cs="Tahoma"/>
          <w:bCs/>
          <w:szCs w:val="18"/>
        </w:rPr>
      </w:pPr>
      <w:r w:rsidRPr="001C64EB">
        <w:rPr>
          <w:rFonts w:cs="Tahoma"/>
          <w:bCs/>
          <w:szCs w:val="18"/>
        </w:rPr>
        <w:t xml:space="preserve">wydatki związane z montażem nowego kotła/ pieca/ źródła ciepła opartego o OZE/ ogrzewania elektrycznego / podłączenia do sieci ciepłowniczej / chłodniczej, budową lub modernizacją instalacji centralnego ogrzewania, budową, modernizacją systemu pozyskiwania </w:t>
      </w:r>
      <w:r w:rsidR="009C799A" w:rsidRPr="001C64EB">
        <w:rPr>
          <w:rFonts w:cs="Tahoma"/>
          <w:bCs/>
          <w:szCs w:val="18"/>
        </w:rPr>
        <w:t>ciepłej wody użytkowej;</w:t>
      </w:r>
      <w:r w:rsidRPr="001C64EB">
        <w:rPr>
          <w:rFonts w:cs="Tahoma"/>
          <w:bCs/>
          <w:szCs w:val="18"/>
        </w:rPr>
        <w:t xml:space="preserve"> </w:t>
      </w:r>
    </w:p>
    <w:p w14:paraId="6F760598" w14:textId="77777777" w:rsidR="00F40C52" w:rsidRPr="001C64EB" w:rsidRDefault="00F40C52" w:rsidP="00707D93">
      <w:pPr>
        <w:pStyle w:val="Akapitzlist"/>
        <w:numPr>
          <w:ilvl w:val="1"/>
          <w:numId w:val="13"/>
        </w:numPr>
        <w:rPr>
          <w:rFonts w:cs="Tahoma"/>
          <w:bCs/>
          <w:szCs w:val="18"/>
        </w:rPr>
      </w:pPr>
      <w:r w:rsidRPr="001C64EB">
        <w:rPr>
          <w:rFonts w:cs="Tahoma"/>
          <w:bCs/>
          <w:szCs w:val="18"/>
        </w:rPr>
        <w:t xml:space="preserve">wydatki związane modernizacją kotłowni, instalacją systemu zarządzania energią (urządzenia, oprogramowanie); </w:t>
      </w:r>
    </w:p>
    <w:p w14:paraId="1DC1967A" w14:textId="0CCB0ED8" w:rsidR="00F40C52" w:rsidRPr="001C64EB" w:rsidRDefault="00F40C52" w:rsidP="00707D93">
      <w:pPr>
        <w:pStyle w:val="Akapitzlist"/>
        <w:numPr>
          <w:ilvl w:val="1"/>
          <w:numId w:val="13"/>
        </w:numPr>
        <w:rPr>
          <w:rFonts w:cs="Tahoma"/>
          <w:bCs/>
          <w:szCs w:val="18"/>
        </w:rPr>
      </w:pPr>
      <w:r w:rsidRPr="001C64EB">
        <w:rPr>
          <w:rFonts w:cs="Tahoma"/>
          <w:bCs/>
          <w:szCs w:val="18"/>
        </w:rPr>
        <w:t xml:space="preserve">wydatki dot. instalacji OZE na cele nie związane z ogrzewaniem, np. na cele pozyskiwania CWU albo </w:t>
      </w:r>
      <w:proofErr w:type="spellStart"/>
      <w:r w:rsidRPr="001C64EB">
        <w:rPr>
          <w:rFonts w:cs="Tahoma"/>
          <w:bCs/>
          <w:szCs w:val="18"/>
        </w:rPr>
        <w:t>mikroinstalacji</w:t>
      </w:r>
      <w:proofErr w:type="spellEnd"/>
      <w:r w:rsidRPr="001C64EB">
        <w:rPr>
          <w:rFonts w:cs="Tahoma"/>
          <w:bCs/>
          <w:szCs w:val="18"/>
        </w:rPr>
        <w:t xml:space="preserve"> do produkcji prądu, np. fotowoltaicznej albo wiatrowej (ale tylko o mocy zainstalowanej odpowiadającej zapotrzebowaniu budynku w latach ubiegłych, chyba że </w:t>
      </w:r>
      <w:proofErr w:type="spellStart"/>
      <w:r w:rsidRPr="001C64EB">
        <w:rPr>
          <w:rFonts w:cs="Tahoma"/>
          <w:bCs/>
          <w:szCs w:val="18"/>
        </w:rPr>
        <w:t>mikroinstalacja</w:t>
      </w:r>
      <w:proofErr w:type="spellEnd"/>
      <w:r w:rsidRPr="001C64EB">
        <w:rPr>
          <w:rFonts w:cs="Tahoma"/>
          <w:bCs/>
          <w:szCs w:val="18"/>
        </w:rPr>
        <w:t xml:space="preserve"> posłuży zaspokojeniu zwiększonych potrzeb wynikających z zastosowania ogrzewania elektrycznego;</w:t>
      </w:r>
    </w:p>
    <w:p w14:paraId="26B67C58" w14:textId="77777777" w:rsidR="00F40C52" w:rsidRPr="001C64EB" w:rsidRDefault="00F40C52" w:rsidP="00707D93">
      <w:pPr>
        <w:pStyle w:val="Akapitzlist"/>
        <w:numPr>
          <w:ilvl w:val="1"/>
          <w:numId w:val="13"/>
        </w:numPr>
        <w:rPr>
          <w:rFonts w:cs="Tahoma"/>
          <w:bCs/>
          <w:szCs w:val="18"/>
        </w:rPr>
      </w:pPr>
      <w:r w:rsidRPr="001C64EB">
        <w:rPr>
          <w:rFonts w:cs="Tahoma"/>
          <w:bCs/>
          <w:szCs w:val="18"/>
        </w:rPr>
        <w:t>wydatki związane z ułatwieniem dostępu do obsługi urządzeń przez osoby niepełnosprawne zamieszkujące w domach jednorodzinnych lub mieszkaniach, w których dokonywana jest modernizacja źródła ciepła – w kwocie nie przekraczającej połowy wartości grantu;</w:t>
      </w:r>
    </w:p>
    <w:p w14:paraId="7B0E591C" w14:textId="0F5DC0FF" w:rsidR="009D0074" w:rsidRPr="001C64EB" w:rsidRDefault="00F40C52" w:rsidP="00707D93">
      <w:pPr>
        <w:pStyle w:val="Akapitzlist"/>
        <w:numPr>
          <w:ilvl w:val="0"/>
          <w:numId w:val="9"/>
        </w:numPr>
        <w:rPr>
          <w:rFonts w:cs="Tahoma"/>
          <w:szCs w:val="18"/>
        </w:rPr>
      </w:pPr>
      <w:r w:rsidRPr="001C64EB">
        <w:rPr>
          <w:rFonts w:cs="Tahoma"/>
          <w:szCs w:val="18"/>
        </w:rPr>
        <w:t xml:space="preserve">Wydatki nie mające bezpośredniego związku z wyżej wymienionymi (np. zmiana układu pomieszczeń, wyposażenie pomieszczeń w meble, montaż urządzeń sanitarnych, remont klatki schodowej, wykończenie pomieszczeń) nie mogą stanowić wydatków kwalifikowalnych w projekcie. Wyjątek stanowią wydatki na prace niezbędne do przeprowadzenia </w:t>
      </w:r>
      <w:r w:rsidR="009C799A" w:rsidRPr="001C64EB">
        <w:rPr>
          <w:rFonts w:cs="Tahoma"/>
          <w:szCs w:val="18"/>
        </w:rPr>
        <w:t>wymiany źródła ciepła</w:t>
      </w:r>
      <w:r w:rsidRPr="001C64EB">
        <w:rPr>
          <w:rFonts w:cs="Tahoma"/>
          <w:szCs w:val="18"/>
        </w:rPr>
        <w:t xml:space="preserve"> i bezpośrednio z nią związane, np. przebudowa kotłowni, koszty przyłącza gazowego, miejscowa naprawa muru lub stropu związana z koniecznością zamocowania urządzenia grzewczego itp. Zasada ta nie dotyczy również usprawnień na rzecz osób z niepełnosprawnościami, związanych z realizacją koncepcji uniwersalnego projektowania, o której mowa w Wytycznych w zakresie realizacji zasady równości szans i niedyskryminacji, w tym dostępności dla osób z niepełnosprawnościami oraz zasady równości szans kobiet i mężczyzn w ramach funduszy unijnych na lata 2014-2020.</w:t>
      </w:r>
      <w:r w:rsidR="009D0074" w:rsidRPr="001C64EB">
        <w:rPr>
          <w:rFonts w:cs="Tahoma"/>
          <w:szCs w:val="18"/>
        </w:rPr>
        <w:t xml:space="preserve"> Ostateczną decyzję w zakresie kwalifikowalności wydatków podejmuje </w:t>
      </w:r>
      <w:proofErr w:type="spellStart"/>
      <w:r w:rsidR="009D0074" w:rsidRPr="001C64EB">
        <w:rPr>
          <w:rFonts w:cs="Tahoma"/>
          <w:szCs w:val="18"/>
        </w:rPr>
        <w:t>Grantodawca</w:t>
      </w:r>
      <w:proofErr w:type="spellEnd"/>
      <w:r w:rsidR="009D0074" w:rsidRPr="001C64EB">
        <w:rPr>
          <w:rFonts w:cs="Tahoma"/>
          <w:szCs w:val="18"/>
        </w:rPr>
        <w:t>.</w:t>
      </w:r>
    </w:p>
    <w:p w14:paraId="1223B229" w14:textId="77777777" w:rsidR="00825D1E" w:rsidRPr="001C64EB" w:rsidRDefault="00825D1E" w:rsidP="00707D93">
      <w:pPr>
        <w:pStyle w:val="Akapitzlist"/>
        <w:numPr>
          <w:ilvl w:val="0"/>
          <w:numId w:val="15"/>
        </w:numPr>
        <w:rPr>
          <w:rFonts w:cs="Tahoma"/>
          <w:szCs w:val="18"/>
        </w:rPr>
      </w:pPr>
      <w:r w:rsidRPr="001C64EB">
        <w:rPr>
          <w:rFonts w:cs="Tahoma"/>
          <w:szCs w:val="18"/>
        </w:rPr>
        <w:t>W ramach Projektu grantowego nie jest możliwa wymiana następujących źródeł ciepła:</w:t>
      </w:r>
    </w:p>
    <w:p w14:paraId="7E767FAB" w14:textId="77777777" w:rsidR="00825D1E" w:rsidRPr="001C64EB" w:rsidRDefault="00825D1E" w:rsidP="00707D93">
      <w:pPr>
        <w:pStyle w:val="Akapitzlist"/>
        <w:numPr>
          <w:ilvl w:val="3"/>
          <w:numId w:val="8"/>
        </w:numPr>
        <w:autoSpaceDE w:val="0"/>
        <w:autoSpaceDN w:val="0"/>
        <w:adjustRightInd w:val="0"/>
        <w:spacing w:after="100" w:afterAutospacing="1"/>
        <w:ind w:left="1276" w:hanging="283"/>
        <w:rPr>
          <w:rFonts w:cs="Tahoma"/>
          <w:szCs w:val="18"/>
        </w:rPr>
      </w:pPr>
      <w:r w:rsidRPr="001C64EB">
        <w:rPr>
          <w:rFonts w:cs="Tahoma"/>
          <w:szCs w:val="18"/>
        </w:rPr>
        <w:t>dotychczas używanych kotłów gazowych i olejowych na inne źródła ciepła;</w:t>
      </w:r>
    </w:p>
    <w:p w14:paraId="1AC1A6AB" w14:textId="05E67F65" w:rsidR="00825D1E" w:rsidRPr="001C64EB" w:rsidRDefault="00825D1E" w:rsidP="00707D93">
      <w:pPr>
        <w:pStyle w:val="Akapitzlist"/>
        <w:numPr>
          <w:ilvl w:val="3"/>
          <w:numId w:val="8"/>
        </w:numPr>
        <w:autoSpaceDE w:val="0"/>
        <w:autoSpaceDN w:val="0"/>
        <w:adjustRightInd w:val="0"/>
        <w:spacing w:after="100" w:afterAutospacing="1"/>
        <w:ind w:left="1276" w:hanging="283"/>
        <w:rPr>
          <w:rFonts w:cs="Tahoma"/>
          <w:szCs w:val="18"/>
        </w:rPr>
      </w:pPr>
      <w:r w:rsidRPr="001C64EB">
        <w:rPr>
          <w:rFonts w:cs="Tahoma"/>
          <w:szCs w:val="18"/>
        </w:rPr>
        <w:t xml:space="preserve">dotychczas używanych źródeł ciepła na kotły węglowe, w tym </w:t>
      </w:r>
      <w:proofErr w:type="spellStart"/>
      <w:r w:rsidRPr="001C64EB">
        <w:rPr>
          <w:rFonts w:cs="Tahoma"/>
          <w:szCs w:val="18"/>
        </w:rPr>
        <w:t>ekogroszek</w:t>
      </w:r>
      <w:proofErr w:type="spellEnd"/>
      <w:r w:rsidRPr="001C64EB">
        <w:rPr>
          <w:rFonts w:cs="Tahoma"/>
          <w:szCs w:val="18"/>
        </w:rPr>
        <w:t>, niezależnie od ich klasy.</w:t>
      </w:r>
    </w:p>
    <w:p w14:paraId="488A97BE" w14:textId="77777777" w:rsidR="009C799A" w:rsidRPr="001C64EB" w:rsidRDefault="00F40C52" w:rsidP="00707D93">
      <w:pPr>
        <w:pStyle w:val="Akapitzlist"/>
        <w:numPr>
          <w:ilvl w:val="0"/>
          <w:numId w:val="9"/>
        </w:numPr>
        <w:rPr>
          <w:rFonts w:cs="Tahoma"/>
          <w:szCs w:val="18"/>
        </w:rPr>
      </w:pPr>
      <w:r w:rsidRPr="001C64EB">
        <w:rPr>
          <w:rFonts w:cs="Tahoma"/>
          <w:szCs w:val="18"/>
        </w:rPr>
        <w:t xml:space="preserve">Dodatkowe kryteria związane z kwalifikowaniem kosztów: </w:t>
      </w:r>
    </w:p>
    <w:p w14:paraId="42E50633" w14:textId="77777777" w:rsidR="00F40C52" w:rsidRPr="001C64EB" w:rsidRDefault="00F40C52" w:rsidP="00707D93">
      <w:pPr>
        <w:pStyle w:val="Akapitzlist"/>
        <w:numPr>
          <w:ilvl w:val="1"/>
          <w:numId w:val="15"/>
        </w:numPr>
        <w:rPr>
          <w:rFonts w:cs="Tahoma"/>
          <w:szCs w:val="18"/>
        </w:rPr>
      </w:pPr>
      <w:r w:rsidRPr="001C64EB">
        <w:rPr>
          <w:rFonts w:cs="Tahoma"/>
          <w:szCs w:val="18"/>
        </w:rPr>
        <w:lastRenderedPageBreak/>
        <w:t>Dofinansowanie można uzyskać na projekt grantowy bez konieczności przeprowadzenia kompleksowej termomodernizacji w sytuacji kiedy zostaną spełnione minimalne progi wskaźnika energii pierwotnej (Zgodnie z kryterium „Maksymalne progi wskaźnika energii pierwotnej EP H + W” – wartość współczynnika nie może być wyższa niż 450 kWh/(m2 rok) zmierzone na podstawie świadectwa efektywności energetycznej, audytu energetycznego lub uproszczonego audytu energetycznego.</w:t>
      </w:r>
    </w:p>
    <w:p w14:paraId="6B304101" w14:textId="77777777" w:rsidR="008937FF" w:rsidRPr="001C64EB" w:rsidRDefault="00F40C52" w:rsidP="008937FF">
      <w:pPr>
        <w:pStyle w:val="Akapitzlist"/>
        <w:numPr>
          <w:ilvl w:val="1"/>
          <w:numId w:val="15"/>
        </w:numPr>
        <w:contextualSpacing w:val="0"/>
        <w:rPr>
          <w:rFonts w:cs="Tahoma"/>
          <w:szCs w:val="18"/>
        </w:rPr>
      </w:pPr>
      <w:r w:rsidRPr="001C64EB">
        <w:rPr>
          <w:rFonts w:cs="Tahoma"/>
          <w:szCs w:val="18"/>
        </w:rPr>
        <w:t>Dopuszczalna jest wymiana kotłów w budynkach historycznych (zabytkowych), bez konieczności spełnienia warunków „Maksymalne progi wskaźnika energii pierwotnej EP H + W” jeżeli zostały przeprowadzone minimalne inwestycje w efektywność energetyczną</w:t>
      </w:r>
      <w:r w:rsidR="008937FF" w:rsidRPr="001C64EB">
        <w:rPr>
          <w:rFonts w:cs="Tahoma"/>
          <w:szCs w:val="18"/>
        </w:rPr>
        <w:t xml:space="preserve"> obejmujące co najmniej jeden z poniższych elementów:</w:t>
      </w:r>
    </w:p>
    <w:p w14:paraId="353AC54B" w14:textId="77777777" w:rsidR="008937FF" w:rsidRPr="001C64EB" w:rsidRDefault="008937FF" w:rsidP="008937FF">
      <w:pPr>
        <w:pStyle w:val="Akapitzlist"/>
        <w:numPr>
          <w:ilvl w:val="3"/>
          <w:numId w:val="8"/>
        </w:numPr>
        <w:autoSpaceDE w:val="0"/>
        <w:autoSpaceDN w:val="0"/>
        <w:adjustRightInd w:val="0"/>
        <w:ind w:left="1276" w:hanging="283"/>
        <w:contextualSpacing w:val="0"/>
        <w:rPr>
          <w:rFonts w:cs="Tahoma"/>
          <w:szCs w:val="18"/>
        </w:rPr>
      </w:pPr>
      <w:bookmarkStart w:id="7" w:name="_Hlk525727367"/>
      <w:r w:rsidRPr="001C64EB">
        <w:rPr>
          <w:rFonts w:cs="Tahoma"/>
          <w:szCs w:val="18"/>
        </w:rPr>
        <w:t xml:space="preserve">wymianę w domu / mieszkaniu będącym przedmiotem projektu (w pomieszczeniach ogrzewanych), wszystkich okien na okna o lepszej charakterystyce  tj. nie gorszej niż </w:t>
      </w:r>
      <w:proofErr w:type="spellStart"/>
      <w:r w:rsidRPr="001C64EB">
        <w:rPr>
          <w:rFonts w:cs="Tahoma"/>
          <w:szCs w:val="18"/>
        </w:rPr>
        <w:t>Uk</w:t>
      </w:r>
      <w:proofErr w:type="spellEnd"/>
      <w:r w:rsidRPr="001C64EB">
        <w:rPr>
          <w:rFonts w:cs="Tahoma"/>
          <w:szCs w:val="18"/>
        </w:rPr>
        <w:t xml:space="preserve"> (max) = 2,2 [W/(m2*K)] i potwierdzonej audytem, świadectwem charakterystyki energetycznej lub innym dokumentem (faktura, protokół odbioru itp.). W przypadku braku dokumentacji, należy posłużyć się uproszczoną metodą szacowania w oparciu o poniższą tabelę:</w:t>
      </w:r>
    </w:p>
    <w:p w14:paraId="2AAF8BEA" w14:textId="77777777" w:rsidR="008937FF" w:rsidRPr="001C64EB" w:rsidRDefault="008937FF" w:rsidP="008937FF">
      <w:pPr>
        <w:pStyle w:val="Akapitzlist"/>
        <w:autoSpaceDE w:val="0"/>
        <w:autoSpaceDN w:val="0"/>
        <w:adjustRightInd w:val="0"/>
        <w:ind w:left="1276"/>
        <w:contextualSpacing w:val="0"/>
        <w:rPr>
          <w:rFonts w:cs="Tahoma"/>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3"/>
        <w:gridCol w:w="2568"/>
      </w:tblGrid>
      <w:tr w:rsidR="00A21AA6" w:rsidRPr="001C64EB" w14:paraId="20F8E7CB" w14:textId="77777777" w:rsidTr="00003CCC">
        <w:trPr>
          <w:jc w:val="center"/>
        </w:trPr>
        <w:tc>
          <w:tcPr>
            <w:tcW w:w="2693" w:type="dxa"/>
            <w:tcMar>
              <w:top w:w="0" w:type="dxa"/>
              <w:left w:w="108" w:type="dxa"/>
              <w:bottom w:w="0" w:type="dxa"/>
              <w:right w:w="108" w:type="dxa"/>
            </w:tcMar>
            <w:hideMark/>
          </w:tcPr>
          <w:p w14:paraId="2B97564B" w14:textId="77777777" w:rsidR="008937FF" w:rsidRPr="001C64EB" w:rsidRDefault="008937FF" w:rsidP="00003CCC">
            <w:pPr>
              <w:jc w:val="center"/>
              <w:rPr>
                <w:rFonts w:cs="Tahoma"/>
                <w:sz w:val="16"/>
                <w:szCs w:val="16"/>
              </w:rPr>
            </w:pPr>
            <w:r w:rsidRPr="001C64EB">
              <w:rPr>
                <w:rFonts w:cs="Tahoma"/>
                <w:sz w:val="16"/>
                <w:szCs w:val="16"/>
              </w:rPr>
              <w:t>Rok wymiany/produkcji okna</w:t>
            </w:r>
          </w:p>
        </w:tc>
        <w:tc>
          <w:tcPr>
            <w:tcW w:w="2568" w:type="dxa"/>
            <w:tcMar>
              <w:top w:w="0" w:type="dxa"/>
              <w:left w:w="108" w:type="dxa"/>
              <w:bottom w:w="0" w:type="dxa"/>
              <w:right w:w="108" w:type="dxa"/>
            </w:tcMar>
            <w:hideMark/>
          </w:tcPr>
          <w:p w14:paraId="67D63D41" w14:textId="77777777" w:rsidR="008937FF" w:rsidRPr="001C64EB" w:rsidRDefault="008937FF" w:rsidP="00003CCC">
            <w:pPr>
              <w:jc w:val="center"/>
              <w:rPr>
                <w:rFonts w:cs="Tahoma"/>
                <w:sz w:val="16"/>
                <w:szCs w:val="16"/>
              </w:rPr>
            </w:pPr>
            <w:proofErr w:type="spellStart"/>
            <w:r w:rsidRPr="001C64EB">
              <w:rPr>
                <w:rFonts w:cs="Tahoma"/>
                <w:sz w:val="16"/>
                <w:szCs w:val="16"/>
              </w:rPr>
              <w:t>Uk</w:t>
            </w:r>
            <w:proofErr w:type="spellEnd"/>
            <w:r w:rsidRPr="001C64EB">
              <w:rPr>
                <w:rFonts w:cs="Tahoma"/>
                <w:sz w:val="16"/>
                <w:szCs w:val="16"/>
              </w:rPr>
              <w:t xml:space="preserve"> (max) okna [W/(m2*K)]</w:t>
            </w:r>
          </w:p>
        </w:tc>
      </w:tr>
      <w:tr w:rsidR="00A21AA6" w:rsidRPr="001C64EB" w14:paraId="24801852" w14:textId="77777777" w:rsidTr="00003CCC">
        <w:trPr>
          <w:jc w:val="center"/>
        </w:trPr>
        <w:tc>
          <w:tcPr>
            <w:tcW w:w="2693" w:type="dxa"/>
            <w:tcMar>
              <w:top w:w="0" w:type="dxa"/>
              <w:left w:w="108" w:type="dxa"/>
              <w:bottom w:w="0" w:type="dxa"/>
              <w:right w:w="108" w:type="dxa"/>
            </w:tcMar>
            <w:hideMark/>
          </w:tcPr>
          <w:p w14:paraId="07E10FEC" w14:textId="77777777" w:rsidR="008937FF" w:rsidRPr="001C64EB" w:rsidRDefault="008937FF" w:rsidP="00003CCC">
            <w:pPr>
              <w:jc w:val="center"/>
              <w:rPr>
                <w:rFonts w:cs="Tahoma"/>
                <w:sz w:val="16"/>
                <w:szCs w:val="16"/>
              </w:rPr>
            </w:pPr>
            <w:r w:rsidRPr="001C64EB">
              <w:rPr>
                <w:rFonts w:cs="Tahoma"/>
                <w:sz w:val="16"/>
                <w:szCs w:val="16"/>
              </w:rPr>
              <w:t>1995 - 1998</w:t>
            </w:r>
          </w:p>
        </w:tc>
        <w:tc>
          <w:tcPr>
            <w:tcW w:w="2568" w:type="dxa"/>
            <w:tcMar>
              <w:top w:w="0" w:type="dxa"/>
              <w:left w:w="108" w:type="dxa"/>
              <w:bottom w:w="0" w:type="dxa"/>
              <w:right w:w="108" w:type="dxa"/>
            </w:tcMar>
            <w:hideMark/>
          </w:tcPr>
          <w:p w14:paraId="602C748C" w14:textId="77777777" w:rsidR="008937FF" w:rsidRPr="001C64EB" w:rsidRDefault="008937FF" w:rsidP="00003CCC">
            <w:pPr>
              <w:jc w:val="center"/>
              <w:rPr>
                <w:rFonts w:cs="Tahoma"/>
                <w:sz w:val="16"/>
                <w:szCs w:val="16"/>
              </w:rPr>
            </w:pPr>
            <w:r w:rsidRPr="001C64EB">
              <w:rPr>
                <w:rFonts w:cs="Tahoma"/>
                <w:sz w:val="16"/>
                <w:szCs w:val="16"/>
              </w:rPr>
              <w:t>2,0 - 2,2</w:t>
            </w:r>
          </w:p>
        </w:tc>
      </w:tr>
      <w:tr w:rsidR="00A21AA6" w:rsidRPr="001C64EB" w14:paraId="564E24AA" w14:textId="77777777" w:rsidTr="00003CCC">
        <w:trPr>
          <w:jc w:val="center"/>
        </w:trPr>
        <w:tc>
          <w:tcPr>
            <w:tcW w:w="2693" w:type="dxa"/>
            <w:tcMar>
              <w:top w:w="0" w:type="dxa"/>
              <w:left w:w="108" w:type="dxa"/>
              <w:bottom w:w="0" w:type="dxa"/>
              <w:right w:w="108" w:type="dxa"/>
            </w:tcMar>
            <w:hideMark/>
          </w:tcPr>
          <w:p w14:paraId="6131C61F" w14:textId="77777777" w:rsidR="008937FF" w:rsidRPr="001C64EB" w:rsidRDefault="008937FF" w:rsidP="00003CCC">
            <w:pPr>
              <w:jc w:val="center"/>
              <w:rPr>
                <w:rFonts w:cs="Tahoma"/>
                <w:sz w:val="16"/>
                <w:szCs w:val="16"/>
              </w:rPr>
            </w:pPr>
            <w:r w:rsidRPr="001C64EB">
              <w:rPr>
                <w:rFonts w:cs="Tahoma"/>
                <w:sz w:val="16"/>
                <w:szCs w:val="16"/>
              </w:rPr>
              <w:t>1998 - 2002</w:t>
            </w:r>
          </w:p>
        </w:tc>
        <w:tc>
          <w:tcPr>
            <w:tcW w:w="2568" w:type="dxa"/>
            <w:tcMar>
              <w:top w:w="0" w:type="dxa"/>
              <w:left w:w="108" w:type="dxa"/>
              <w:bottom w:w="0" w:type="dxa"/>
              <w:right w:w="108" w:type="dxa"/>
            </w:tcMar>
            <w:hideMark/>
          </w:tcPr>
          <w:p w14:paraId="4D8A8647" w14:textId="77777777" w:rsidR="008937FF" w:rsidRPr="001C64EB" w:rsidRDefault="008937FF" w:rsidP="00003CCC">
            <w:pPr>
              <w:jc w:val="center"/>
              <w:rPr>
                <w:rFonts w:cs="Tahoma"/>
                <w:sz w:val="16"/>
                <w:szCs w:val="16"/>
              </w:rPr>
            </w:pPr>
            <w:r w:rsidRPr="001C64EB">
              <w:rPr>
                <w:rFonts w:cs="Tahoma"/>
                <w:sz w:val="16"/>
                <w:szCs w:val="16"/>
              </w:rPr>
              <w:t>1,9 - 2,2</w:t>
            </w:r>
          </w:p>
        </w:tc>
      </w:tr>
      <w:tr w:rsidR="00A21AA6" w:rsidRPr="001C64EB" w14:paraId="739782E7" w14:textId="77777777" w:rsidTr="00003CCC">
        <w:trPr>
          <w:jc w:val="center"/>
        </w:trPr>
        <w:tc>
          <w:tcPr>
            <w:tcW w:w="2693" w:type="dxa"/>
            <w:tcMar>
              <w:top w:w="0" w:type="dxa"/>
              <w:left w:w="108" w:type="dxa"/>
              <w:bottom w:w="0" w:type="dxa"/>
              <w:right w:w="108" w:type="dxa"/>
            </w:tcMar>
            <w:hideMark/>
          </w:tcPr>
          <w:p w14:paraId="0EE1638E" w14:textId="77777777" w:rsidR="008937FF" w:rsidRPr="001C64EB" w:rsidRDefault="008937FF" w:rsidP="00003CCC">
            <w:pPr>
              <w:jc w:val="center"/>
              <w:rPr>
                <w:rFonts w:cs="Tahoma"/>
                <w:sz w:val="16"/>
                <w:szCs w:val="16"/>
              </w:rPr>
            </w:pPr>
            <w:r w:rsidRPr="001C64EB">
              <w:rPr>
                <w:rFonts w:cs="Tahoma"/>
                <w:sz w:val="16"/>
                <w:szCs w:val="16"/>
              </w:rPr>
              <w:t>2003 - 2008</w:t>
            </w:r>
          </w:p>
        </w:tc>
        <w:tc>
          <w:tcPr>
            <w:tcW w:w="2568" w:type="dxa"/>
            <w:tcMar>
              <w:top w:w="0" w:type="dxa"/>
              <w:left w:w="108" w:type="dxa"/>
              <w:bottom w:w="0" w:type="dxa"/>
              <w:right w:w="108" w:type="dxa"/>
            </w:tcMar>
            <w:hideMark/>
          </w:tcPr>
          <w:p w14:paraId="77B4F13C" w14:textId="77777777" w:rsidR="008937FF" w:rsidRPr="001C64EB" w:rsidRDefault="008937FF" w:rsidP="00003CCC">
            <w:pPr>
              <w:jc w:val="center"/>
              <w:rPr>
                <w:rFonts w:cs="Tahoma"/>
                <w:sz w:val="16"/>
                <w:szCs w:val="16"/>
              </w:rPr>
            </w:pPr>
            <w:r w:rsidRPr="001C64EB">
              <w:rPr>
                <w:rFonts w:cs="Tahoma"/>
                <w:sz w:val="16"/>
                <w:szCs w:val="16"/>
              </w:rPr>
              <w:t>1,6 - 2,2</w:t>
            </w:r>
          </w:p>
        </w:tc>
      </w:tr>
      <w:tr w:rsidR="00A21AA6" w:rsidRPr="001C64EB" w14:paraId="17D26677" w14:textId="77777777" w:rsidTr="00003CCC">
        <w:trPr>
          <w:jc w:val="center"/>
        </w:trPr>
        <w:tc>
          <w:tcPr>
            <w:tcW w:w="2693" w:type="dxa"/>
            <w:tcMar>
              <w:top w:w="0" w:type="dxa"/>
              <w:left w:w="108" w:type="dxa"/>
              <w:bottom w:w="0" w:type="dxa"/>
              <w:right w:w="108" w:type="dxa"/>
            </w:tcMar>
            <w:hideMark/>
          </w:tcPr>
          <w:p w14:paraId="1685DEB8" w14:textId="77777777" w:rsidR="008937FF" w:rsidRPr="001C64EB" w:rsidRDefault="008937FF" w:rsidP="00003CCC">
            <w:pPr>
              <w:jc w:val="center"/>
              <w:rPr>
                <w:rFonts w:cs="Tahoma"/>
                <w:sz w:val="16"/>
                <w:szCs w:val="16"/>
              </w:rPr>
            </w:pPr>
            <w:r w:rsidRPr="001C64EB">
              <w:rPr>
                <w:rFonts w:cs="Tahoma"/>
                <w:sz w:val="16"/>
                <w:szCs w:val="16"/>
              </w:rPr>
              <w:t>2009 - 2013</w:t>
            </w:r>
          </w:p>
        </w:tc>
        <w:tc>
          <w:tcPr>
            <w:tcW w:w="2568" w:type="dxa"/>
            <w:tcMar>
              <w:top w:w="0" w:type="dxa"/>
              <w:left w:w="108" w:type="dxa"/>
              <w:bottom w:w="0" w:type="dxa"/>
              <w:right w:w="108" w:type="dxa"/>
            </w:tcMar>
            <w:hideMark/>
          </w:tcPr>
          <w:p w14:paraId="28BDE3A1" w14:textId="77777777" w:rsidR="008937FF" w:rsidRPr="001C64EB" w:rsidRDefault="008937FF" w:rsidP="00003CCC">
            <w:pPr>
              <w:jc w:val="center"/>
              <w:rPr>
                <w:rFonts w:cs="Tahoma"/>
                <w:sz w:val="16"/>
                <w:szCs w:val="16"/>
              </w:rPr>
            </w:pPr>
            <w:r w:rsidRPr="001C64EB">
              <w:rPr>
                <w:rFonts w:cs="Tahoma"/>
                <w:sz w:val="16"/>
                <w:szCs w:val="16"/>
              </w:rPr>
              <w:t>1,5 - 1,7</w:t>
            </w:r>
          </w:p>
        </w:tc>
      </w:tr>
      <w:tr w:rsidR="00A21AA6" w:rsidRPr="001C64EB" w14:paraId="2FD5A4D7" w14:textId="77777777" w:rsidTr="00003CCC">
        <w:trPr>
          <w:jc w:val="center"/>
        </w:trPr>
        <w:tc>
          <w:tcPr>
            <w:tcW w:w="2693" w:type="dxa"/>
            <w:tcMar>
              <w:top w:w="0" w:type="dxa"/>
              <w:left w:w="108" w:type="dxa"/>
              <w:bottom w:w="0" w:type="dxa"/>
              <w:right w:w="108" w:type="dxa"/>
            </w:tcMar>
            <w:hideMark/>
          </w:tcPr>
          <w:p w14:paraId="7DB1A7F0" w14:textId="77777777" w:rsidR="008937FF" w:rsidRPr="001C64EB" w:rsidRDefault="008937FF" w:rsidP="00003CCC">
            <w:pPr>
              <w:jc w:val="center"/>
              <w:rPr>
                <w:rFonts w:cs="Tahoma"/>
                <w:sz w:val="16"/>
                <w:szCs w:val="16"/>
              </w:rPr>
            </w:pPr>
            <w:r w:rsidRPr="001C64EB">
              <w:rPr>
                <w:rFonts w:cs="Tahoma"/>
                <w:sz w:val="16"/>
                <w:szCs w:val="16"/>
              </w:rPr>
              <w:t>2014 - 2017</w:t>
            </w:r>
          </w:p>
        </w:tc>
        <w:tc>
          <w:tcPr>
            <w:tcW w:w="2568" w:type="dxa"/>
            <w:tcMar>
              <w:top w:w="0" w:type="dxa"/>
              <w:left w:w="108" w:type="dxa"/>
              <w:bottom w:w="0" w:type="dxa"/>
              <w:right w:w="108" w:type="dxa"/>
            </w:tcMar>
            <w:hideMark/>
          </w:tcPr>
          <w:p w14:paraId="238491AF" w14:textId="77777777" w:rsidR="008937FF" w:rsidRPr="001C64EB" w:rsidRDefault="008937FF" w:rsidP="00003CCC">
            <w:pPr>
              <w:jc w:val="center"/>
              <w:rPr>
                <w:rFonts w:cs="Tahoma"/>
                <w:sz w:val="16"/>
                <w:szCs w:val="16"/>
              </w:rPr>
            </w:pPr>
            <w:r w:rsidRPr="001C64EB">
              <w:rPr>
                <w:rFonts w:cs="Tahoma"/>
                <w:sz w:val="16"/>
                <w:szCs w:val="16"/>
              </w:rPr>
              <w:t>1,3 - 1,5</w:t>
            </w:r>
          </w:p>
        </w:tc>
      </w:tr>
      <w:tr w:rsidR="008937FF" w:rsidRPr="001C64EB" w14:paraId="1557830E" w14:textId="77777777" w:rsidTr="00003CCC">
        <w:trPr>
          <w:jc w:val="center"/>
        </w:trPr>
        <w:tc>
          <w:tcPr>
            <w:tcW w:w="2693" w:type="dxa"/>
            <w:tcMar>
              <w:top w:w="0" w:type="dxa"/>
              <w:left w:w="108" w:type="dxa"/>
              <w:bottom w:w="0" w:type="dxa"/>
              <w:right w:w="108" w:type="dxa"/>
            </w:tcMar>
            <w:hideMark/>
          </w:tcPr>
          <w:p w14:paraId="3221A3C6" w14:textId="77777777" w:rsidR="008937FF" w:rsidRPr="001C64EB" w:rsidRDefault="008937FF" w:rsidP="00003CCC">
            <w:pPr>
              <w:jc w:val="center"/>
              <w:rPr>
                <w:rFonts w:cs="Tahoma"/>
                <w:sz w:val="16"/>
                <w:szCs w:val="16"/>
              </w:rPr>
            </w:pPr>
            <w:r w:rsidRPr="001C64EB">
              <w:rPr>
                <w:rFonts w:cs="Tahoma"/>
                <w:sz w:val="16"/>
                <w:szCs w:val="16"/>
              </w:rPr>
              <w:t>2018</w:t>
            </w:r>
          </w:p>
        </w:tc>
        <w:tc>
          <w:tcPr>
            <w:tcW w:w="2568" w:type="dxa"/>
            <w:tcMar>
              <w:top w:w="0" w:type="dxa"/>
              <w:left w:w="108" w:type="dxa"/>
              <w:bottom w:w="0" w:type="dxa"/>
              <w:right w:w="108" w:type="dxa"/>
            </w:tcMar>
            <w:hideMark/>
          </w:tcPr>
          <w:p w14:paraId="4F94AA56" w14:textId="77777777" w:rsidR="008937FF" w:rsidRPr="001C64EB" w:rsidRDefault="008937FF" w:rsidP="00003CCC">
            <w:pPr>
              <w:jc w:val="center"/>
              <w:rPr>
                <w:rFonts w:cs="Tahoma"/>
                <w:sz w:val="16"/>
                <w:szCs w:val="16"/>
              </w:rPr>
            </w:pPr>
            <w:r w:rsidRPr="001C64EB">
              <w:rPr>
                <w:rFonts w:cs="Tahoma"/>
                <w:sz w:val="16"/>
                <w:szCs w:val="16"/>
              </w:rPr>
              <w:t>1,1 - 0,9</w:t>
            </w:r>
          </w:p>
        </w:tc>
      </w:tr>
    </w:tbl>
    <w:p w14:paraId="594B7372" w14:textId="77777777" w:rsidR="008937FF" w:rsidRPr="001C64EB" w:rsidRDefault="008937FF" w:rsidP="008937FF">
      <w:pPr>
        <w:pStyle w:val="Akapitzlist"/>
        <w:autoSpaceDE w:val="0"/>
        <w:autoSpaceDN w:val="0"/>
        <w:adjustRightInd w:val="0"/>
        <w:ind w:left="1276"/>
        <w:contextualSpacing w:val="0"/>
        <w:rPr>
          <w:rFonts w:cs="Tahoma"/>
          <w:szCs w:val="18"/>
        </w:rPr>
      </w:pPr>
    </w:p>
    <w:p w14:paraId="3E98C191" w14:textId="77777777" w:rsidR="008937FF" w:rsidRPr="001C64EB" w:rsidRDefault="008937FF" w:rsidP="008937FF">
      <w:pPr>
        <w:pStyle w:val="Akapitzlist"/>
        <w:numPr>
          <w:ilvl w:val="3"/>
          <w:numId w:val="8"/>
        </w:numPr>
        <w:autoSpaceDE w:val="0"/>
        <w:autoSpaceDN w:val="0"/>
        <w:adjustRightInd w:val="0"/>
        <w:ind w:left="1276" w:hanging="283"/>
        <w:contextualSpacing w:val="0"/>
        <w:rPr>
          <w:rFonts w:cs="Tahoma"/>
          <w:szCs w:val="18"/>
        </w:rPr>
      </w:pPr>
      <w:r w:rsidRPr="001C64EB">
        <w:rPr>
          <w:rFonts w:cs="Tahoma"/>
          <w:szCs w:val="18"/>
        </w:rPr>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14:paraId="0546B9C3" w14:textId="77777777" w:rsidR="008937FF" w:rsidRPr="001C64EB" w:rsidRDefault="008937FF" w:rsidP="008937FF">
      <w:pPr>
        <w:pStyle w:val="Akapitzlist"/>
        <w:numPr>
          <w:ilvl w:val="3"/>
          <w:numId w:val="8"/>
        </w:numPr>
        <w:autoSpaceDE w:val="0"/>
        <w:autoSpaceDN w:val="0"/>
        <w:adjustRightInd w:val="0"/>
        <w:ind w:left="1276" w:hanging="283"/>
        <w:contextualSpacing w:val="0"/>
        <w:rPr>
          <w:rFonts w:cs="Tahoma"/>
          <w:szCs w:val="18"/>
        </w:rPr>
      </w:pPr>
      <w:r w:rsidRPr="001C64EB">
        <w:rPr>
          <w:rFonts w:cs="Tahoma"/>
          <w:szCs w:val="18"/>
        </w:rPr>
        <w:t>zastosowanie wentylacji z odzyskiem ciepła.</w:t>
      </w:r>
    </w:p>
    <w:bookmarkEnd w:id="7"/>
    <w:p w14:paraId="1315B197" w14:textId="03BC9E8D" w:rsidR="00F40C52" w:rsidRPr="001C64EB" w:rsidRDefault="00F40C52" w:rsidP="00707D93">
      <w:pPr>
        <w:pStyle w:val="Akapitzlist"/>
        <w:numPr>
          <w:ilvl w:val="1"/>
          <w:numId w:val="15"/>
        </w:numPr>
        <w:rPr>
          <w:rFonts w:cs="Tahoma"/>
          <w:szCs w:val="18"/>
        </w:rPr>
      </w:pPr>
      <w:r w:rsidRPr="001C64EB">
        <w:rPr>
          <w:rFonts w:cs="Tahoma"/>
          <w:szCs w:val="18"/>
        </w:rPr>
        <w:t>Budynek powinien pełnić wyłącznie funkcje mieszkalne, lokale użytkowe muszą być wyłączone z projektu lub z kwalifikowalności, np. odrębny lokal użytkowy, ogrzewany odrębnym źródłem ciepła.</w:t>
      </w:r>
      <w:r w:rsidRPr="001C64EB">
        <w:rPr>
          <w:rFonts w:cs="Tahoma"/>
          <w:szCs w:val="18"/>
        </w:rPr>
        <w:tab/>
      </w:r>
    </w:p>
    <w:p w14:paraId="44F500BE" w14:textId="7029E3A7" w:rsidR="009C799A" w:rsidRPr="001C64EB" w:rsidRDefault="00F40C52" w:rsidP="00707D93">
      <w:pPr>
        <w:pStyle w:val="Akapitzlist"/>
        <w:numPr>
          <w:ilvl w:val="1"/>
          <w:numId w:val="15"/>
        </w:numPr>
        <w:rPr>
          <w:rFonts w:cs="Tahoma"/>
          <w:szCs w:val="18"/>
        </w:rPr>
      </w:pPr>
      <w:r w:rsidRPr="001C64EB">
        <w:rPr>
          <w:rFonts w:cs="Tahoma"/>
          <w:szCs w:val="18"/>
        </w:rPr>
        <w:t>Warunkiem realizacji inwestycji będzie przeprowadzenie właściwej oceny potrzeb i metod osiągnięcia oszczędności energii i redukcji emisji w sposób opłacalny, w oparciu o uproszczony</w:t>
      </w:r>
      <w:r w:rsidR="000E42D9">
        <w:rPr>
          <w:rFonts w:cs="Tahoma"/>
          <w:szCs w:val="18"/>
        </w:rPr>
        <w:t xml:space="preserve"> audyt energetyczny</w:t>
      </w:r>
      <w:r w:rsidRPr="001C64EB">
        <w:rPr>
          <w:rFonts w:cs="Tahoma"/>
          <w:szCs w:val="18"/>
        </w:rPr>
        <w:t xml:space="preserve"> sporządzony wg wskazanej DIP metodologii</w:t>
      </w:r>
      <w:r w:rsidR="00D07C25" w:rsidRPr="001C64EB">
        <w:rPr>
          <w:rFonts w:cs="Tahoma"/>
          <w:szCs w:val="18"/>
        </w:rPr>
        <w:t>.</w:t>
      </w:r>
    </w:p>
    <w:p w14:paraId="6C776B3A" w14:textId="124C45B5" w:rsidR="00CA1405" w:rsidRPr="001C64EB" w:rsidRDefault="00F40C52" w:rsidP="00707D93">
      <w:pPr>
        <w:pStyle w:val="Akapitzlist"/>
        <w:numPr>
          <w:ilvl w:val="1"/>
          <w:numId w:val="15"/>
        </w:numPr>
        <w:rPr>
          <w:rFonts w:cs="Tahoma"/>
          <w:szCs w:val="18"/>
        </w:rPr>
      </w:pPr>
      <w:r w:rsidRPr="001C64EB">
        <w:rPr>
          <w:rFonts w:cs="Tahoma"/>
          <w:szCs w:val="18"/>
        </w:rPr>
        <w:t>Wsparte przedsięwzięcia muszą skutkować redukcją CO2 w odniesieniu do istniejących instalacji (o co najmniej 30% w przypadku zamiany spalanego paliwa) oraz redukcją emisji pyłów zawieszonych PM 10 i PM 2,5 co powinno wynikać z dokumentacji projektu (poprzez dobór właściwych wskaźników rezultatu)</w:t>
      </w:r>
      <w:r w:rsidR="009C799A" w:rsidRPr="001C64EB">
        <w:rPr>
          <w:rFonts w:cs="Tahoma"/>
          <w:szCs w:val="18"/>
        </w:rPr>
        <w:t xml:space="preserve">. </w:t>
      </w:r>
      <w:r w:rsidRPr="001C64EB">
        <w:rPr>
          <w:rFonts w:cs="Tahoma"/>
          <w:szCs w:val="18"/>
        </w:rPr>
        <w:t xml:space="preserve">Powyższe dane powinny wynikać z uproszczonego audytu </w:t>
      </w:r>
      <w:r w:rsidR="000E42D9">
        <w:rPr>
          <w:rFonts w:cs="Tahoma"/>
          <w:szCs w:val="18"/>
        </w:rPr>
        <w:t>energetycznego</w:t>
      </w:r>
      <w:r w:rsidR="000E42D9" w:rsidRPr="001C64EB">
        <w:rPr>
          <w:rFonts w:cs="Tahoma"/>
          <w:szCs w:val="18"/>
        </w:rPr>
        <w:t xml:space="preserve"> </w:t>
      </w:r>
      <w:r w:rsidRPr="001C64EB">
        <w:rPr>
          <w:rFonts w:cs="Tahoma"/>
          <w:szCs w:val="18"/>
        </w:rPr>
        <w:t xml:space="preserve">sporządzonego zgodnie z metodologią wskazaną przez DIP.  </w:t>
      </w:r>
    </w:p>
    <w:p w14:paraId="6EC63558" w14:textId="77777777" w:rsidR="00CA1405" w:rsidRPr="001C64EB" w:rsidRDefault="00F40C52" w:rsidP="00707D93">
      <w:pPr>
        <w:pStyle w:val="Akapitzlist"/>
        <w:numPr>
          <w:ilvl w:val="1"/>
          <w:numId w:val="15"/>
        </w:numPr>
        <w:rPr>
          <w:rFonts w:cs="Tahoma"/>
          <w:szCs w:val="18"/>
        </w:rPr>
      </w:pPr>
      <w:r w:rsidRPr="001C64EB">
        <w:rPr>
          <w:rFonts w:cs="Tahoma"/>
          <w:szCs w:val="18"/>
        </w:rPr>
        <w:t xml:space="preserve">Podatek od towarów i usług (VAT) jest kosztem kwalifikowanym tylko wówczas, gdy jest on faktycznie i ostatecznie ponoszony przez </w:t>
      </w:r>
      <w:proofErr w:type="spellStart"/>
      <w:r w:rsidRPr="001C64EB">
        <w:rPr>
          <w:rFonts w:cs="Tahoma"/>
          <w:szCs w:val="18"/>
        </w:rPr>
        <w:t>Grantobiorcę</w:t>
      </w:r>
      <w:proofErr w:type="spellEnd"/>
      <w:r w:rsidRPr="001C64EB">
        <w:rPr>
          <w:rFonts w:cs="Tahoma"/>
          <w:szCs w:val="18"/>
        </w:rPr>
        <w:t xml:space="preserve">, a </w:t>
      </w:r>
      <w:proofErr w:type="spellStart"/>
      <w:r w:rsidRPr="001C64EB">
        <w:rPr>
          <w:rFonts w:cs="Tahoma"/>
          <w:szCs w:val="18"/>
        </w:rPr>
        <w:t>Grantobiorca</w:t>
      </w:r>
      <w:proofErr w:type="spellEnd"/>
      <w:r w:rsidRPr="001C64EB">
        <w:rPr>
          <w:rFonts w:cs="Tahoma"/>
          <w:szCs w:val="18"/>
        </w:rPr>
        <w:t xml:space="preserve"> nie ma prawnej możliwości odliczenia podatku naliczonego od podatku należnego w jakiejkolwiek części, zgodnie z przepisami ustawy o podatku od towarów i usług. Weryfikacja kwalifikowalności podatku VAT na przedsięwzięcie realizowane przez </w:t>
      </w:r>
      <w:r w:rsidRPr="001C64EB">
        <w:rPr>
          <w:rFonts w:cs="Tahoma"/>
          <w:szCs w:val="18"/>
        </w:rPr>
        <w:lastRenderedPageBreak/>
        <w:t xml:space="preserve">poszczególnych </w:t>
      </w:r>
      <w:proofErr w:type="spellStart"/>
      <w:r w:rsidRPr="001C64EB">
        <w:rPr>
          <w:rFonts w:cs="Tahoma"/>
          <w:szCs w:val="18"/>
        </w:rPr>
        <w:t>Grantobiorców</w:t>
      </w:r>
      <w:proofErr w:type="spellEnd"/>
      <w:r w:rsidRPr="001C64EB">
        <w:rPr>
          <w:rFonts w:cs="Tahoma"/>
          <w:szCs w:val="18"/>
        </w:rPr>
        <w:t xml:space="preserve"> odbywać się będzie na podstawie ich oświadczeń dotyczących kwalifikowalności podatku VAT oraz na etapie wdrożenia i rozliczenia projektu. </w:t>
      </w:r>
    </w:p>
    <w:p w14:paraId="7A671333" w14:textId="2F5519A9" w:rsidR="00F40C52" w:rsidRPr="001C64EB" w:rsidRDefault="00F40C52" w:rsidP="00707D93">
      <w:pPr>
        <w:pStyle w:val="Akapitzlist"/>
        <w:numPr>
          <w:ilvl w:val="1"/>
          <w:numId w:val="15"/>
        </w:numPr>
        <w:rPr>
          <w:rFonts w:cs="Tahoma"/>
          <w:szCs w:val="18"/>
        </w:rPr>
      </w:pPr>
      <w:r w:rsidRPr="001C64EB">
        <w:rPr>
          <w:rFonts w:cs="Tahoma"/>
          <w:szCs w:val="18"/>
        </w:rPr>
        <w:t xml:space="preserve">Po otrzymaniu Grantu, </w:t>
      </w:r>
      <w:proofErr w:type="spellStart"/>
      <w:r w:rsidRPr="001C64EB">
        <w:rPr>
          <w:rFonts w:cs="Tahoma"/>
          <w:szCs w:val="18"/>
        </w:rPr>
        <w:t>Grantobiorca</w:t>
      </w:r>
      <w:proofErr w:type="spellEnd"/>
      <w:r w:rsidRPr="001C64EB">
        <w:rPr>
          <w:rFonts w:cs="Tahoma"/>
          <w:szCs w:val="18"/>
        </w:rPr>
        <w:t xml:space="preserve"> zobowiązany będzie do podpisania oświadczenia, że ewentualny wzrost kosztów ogrzewania nie będzie stanowił dla </w:t>
      </w:r>
      <w:proofErr w:type="spellStart"/>
      <w:r w:rsidRPr="001C64EB">
        <w:rPr>
          <w:rFonts w:cs="Tahoma"/>
          <w:szCs w:val="18"/>
        </w:rPr>
        <w:t>Grantobiorcy</w:t>
      </w:r>
      <w:proofErr w:type="spellEnd"/>
      <w:r w:rsidRPr="001C64EB">
        <w:rPr>
          <w:rFonts w:cs="Tahoma"/>
          <w:szCs w:val="18"/>
        </w:rPr>
        <w:t xml:space="preserve"> nadmiernego obciążenia skutkującego zagrożeniem dla trwałości projektu.</w:t>
      </w:r>
    </w:p>
    <w:p w14:paraId="4AFB036B" w14:textId="6DC79C3E" w:rsidR="00516F1C" w:rsidRPr="001C64EB" w:rsidRDefault="00516F1C" w:rsidP="00516F1C">
      <w:pPr>
        <w:pStyle w:val="Akapitzlist"/>
        <w:numPr>
          <w:ilvl w:val="1"/>
          <w:numId w:val="15"/>
        </w:numPr>
        <w:rPr>
          <w:rFonts w:cs="Tahoma"/>
          <w:szCs w:val="18"/>
        </w:rPr>
      </w:pPr>
      <w:r w:rsidRPr="001C64EB">
        <w:rPr>
          <w:rFonts w:ascii="Arial" w:hAnsi="Arial" w:cs="Arial"/>
          <w:iCs/>
          <w:szCs w:val="18"/>
          <w:lang w:eastAsia="pl-PL"/>
        </w:rPr>
        <w:t>Dofinansowane źródło ciepła będzie użytkowane jako podstawowe źródło ciepła w budynku / mieszkaniu.</w:t>
      </w:r>
    </w:p>
    <w:p w14:paraId="113CD393" w14:textId="4F02ECBC" w:rsidR="00F40C52" w:rsidRPr="001C64EB" w:rsidRDefault="00F40C52" w:rsidP="00707D93">
      <w:pPr>
        <w:pStyle w:val="Akapitzlist"/>
        <w:numPr>
          <w:ilvl w:val="0"/>
          <w:numId w:val="15"/>
        </w:numPr>
        <w:rPr>
          <w:rFonts w:cs="Tahoma"/>
          <w:szCs w:val="18"/>
        </w:rPr>
      </w:pPr>
      <w:r w:rsidRPr="001C64EB">
        <w:rPr>
          <w:rFonts w:cs="Tahoma"/>
          <w:szCs w:val="18"/>
        </w:rPr>
        <w:t>Średnia wartość grantu na dom jednorodzinny/ mieszkanie nie może przekroczyć 35</w:t>
      </w:r>
      <w:r w:rsidR="00D10B75" w:rsidRPr="001C64EB">
        <w:rPr>
          <w:rFonts w:cs="Tahoma"/>
          <w:szCs w:val="18"/>
        </w:rPr>
        <w:t xml:space="preserve"> </w:t>
      </w:r>
      <w:r w:rsidRPr="001C64EB">
        <w:rPr>
          <w:rFonts w:cs="Tahoma"/>
          <w:szCs w:val="18"/>
        </w:rPr>
        <w:t xml:space="preserve">000,00 zł. niezależnie od źródeł ciepła podlegających modernizacji (lub iloczynu tej kwoty i liczby mieszkań, jeśli </w:t>
      </w:r>
      <w:proofErr w:type="spellStart"/>
      <w:r w:rsidRPr="001C64EB">
        <w:rPr>
          <w:rFonts w:cs="Tahoma"/>
          <w:szCs w:val="18"/>
        </w:rPr>
        <w:t>Grantobiorcą</w:t>
      </w:r>
      <w:proofErr w:type="spellEnd"/>
      <w:r w:rsidRPr="001C64EB">
        <w:rPr>
          <w:rFonts w:cs="Tahoma"/>
          <w:szCs w:val="18"/>
        </w:rPr>
        <w:t xml:space="preserve"> będzie podmiot inny niż osoba fizyczna) – w przypadku wymiany źródeł indywidualnych</w:t>
      </w:r>
      <w:r w:rsidR="00825D1E" w:rsidRPr="001C64EB">
        <w:rPr>
          <w:rFonts w:cs="Tahoma"/>
          <w:szCs w:val="18"/>
        </w:rPr>
        <w:t xml:space="preserve">. </w:t>
      </w:r>
      <w:r w:rsidRPr="001C64EB">
        <w:rPr>
          <w:rFonts w:cs="Tahoma"/>
          <w:szCs w:val="18"/>
        </w:rPr>
        <w:t xml:space="preserve">W budynkach jednorodzinnych  </w:t>
      </w:r>
      <w:r w:rsidR="00825D1E" w:rsidRPr="001C64EB">
        <w:rPr>
          <w:rFonts w:cs="Tahoma"/>
          <w:szCs w:val="18"/>
        </w:rPr>
        <w:t xml:space="preserve">i </w:t>
      </w:r>
      <w:r w:rsidRPr="001C64EB">
        <w:rPr>
          <w:rFonts w:cs="Tahoma"/>
          <w:szCs w:val="18"/>
        </w:rPr>
        <w:t>mieszkaniach ogrzewanych źródłami zbiorczymi projekt oceniany będzie wyłącznie w</w:t>
      </w:r>
      <w:r w:rsidR="00825D1E" w:rsidRPr="001C64EB">
        <w:rPr>
          <w:rFonts w:cs="Tahoma"/>
          <w:szCs w:val="18"/>
        </w:rPr>
        <w:t> </w:t>
      </w:r>
      <w:r w:rsidRPr="001C64EB">
        <w:rPr>
          <w:rFonts w:cs="Tahoma"/>
          <w:szCs w:val="18"/>
        </w:rPr>
        <w:t>oparciu o kryterium „Zasadność i adekwatność wydatków”.</w:t>
      </w:r>
    </w:p>
    <w:p w14:paraId="658D6BD7" w14:textId="23D142EC" w:rsidR="00F40C52" w:rsidRPr="001C64EB" w:rsidRDefault="00F40C52" w:rsidP="00707D93">
      <w:pPr>
        <w:pStyle w:val="Akapitzlist"/>
        <w:numPr>
          <w:ilvl w:val="0"/>
          <w:numId w:val="15"/>
        </w:numPr>
        <w:rPr>
          <w:rFonts w:cs="Tahoma"/>
          <w:szCs w:val="18"/>
        </w:rPr>
      </w:pPr>
      <w:r w:rsidRPr="001C64EB">
        <w:rPr>
          <w:rFonts w:cs="Tahoma"/>
          <w:szCs w:val="18"/>
        </w:rPr>
        <w:t xml:space="preserve">Na etapie oceny wniosków o </w:t>
      </w:r>
      <w:r w:rsidR="002E2A6B" w:rsidRPr="001C64EB">
        <w:rPr>
          <w:rFonts w:cs="Tahoma"/>
          <w:szCs w:val="18"/>
        </w:rPr>
        <w:t>grant</w:t>
      </w:r>
      <w:r w:rsidRPr="001C64EB">
        <w:rPr>
          <w:rFonts w:cs="Tahoma"/>
          <w:szCs w:val="18"/>
        </w:rPr>
        <w:t xml:space="preserve"> analizie poddana jest potencjalna kwalifikowalność wydatków ujętych we wniosku. Przyjęcie danego projektu do realizacji i podpisanie z </w:t>
      </w:r>
      <w:proofErr w:type="spellStart"/>
      <w:r w:rsidRPr="001C64EB">
        <w:rPr>
          <w:rFonts w:cs="Tahoma"/>
          <w:szCs w:val="18"/>
        </w:rPr>
        <w:t>Grantobiorcą</w:t>
      </w:r>
      <w:proofErr w:type="spellEnd"/>
      <w:r w:rsidRPr="001C64EB">
        <w:rPr>
          <w:rFonts w:cs="Tahoma"/>
          <w:szCs w:val="18"/>
        </w:rPr>
        <w:t xml:space="preserve"> umowy o </w:t>
      </w:r>
      <w:r w:rsidR="002E2A6B" w:rsidRPr="001C64EB">
        <w:rPr>
          <w:rFonts w:cs="Tahoma"/>
          <w:szCs w:val="18"/>
        </w:rPr>
        <w:t>grant</w:t>
      </w:r>
      <w:r w:rsidRPr="001C64EB">
        <w:rPr>
          <w:rFonts w:cs="Tahoma"/>
          <w:szCs w:val="18"/>
        </w:rPr>
        <w:t xml:space="preserve"> nie oznacza, że wszystkie wydatki ujęte we wniosku o dofinansowanie, a przedstawione przez </w:t>
      </w:r>
      <w:proofErr w:type="spellStart"/>
      <w:r w:rsidRPr="001C64EB">
        <w:rPr>
          <w:rFonts w:cs="Tahoma"/>
          <w:szCs w:val="18"/>
        </w:rPr>
        <w:t>Grantobiorcę</w:t>
      </w:r>
      <w:proofErr w:type="spellEnd"/>
      <w:r w:rsidRPr="001C64EB">
        <w:rPr>
          <w:rFonts w:cs="Tahoma"/>
          <w:szCs w:val="18"/>
        </w:rPr>
        <w:t xml:space="preserve"> do rozliczenia w trakcie realizacji projektu, będą kwalifikować się do refundacji. </w:t>
      </w:r>
    </w:p>
    <w:p w14:paraId="7D6F1535" w14:textId="77777777" w:rsidR="00F40C52" w:rsidRPr="001C64EB" w:rsidRDefault="00F40C52" w:rsidP="00707D93">
      <w:pPr>
        <w:pStyle w:val="Akapitzlist"/>
        <w:numPr>
          <w:ilvl w:val="0"/>
          <w:numId w:val="15"/>
        </w:numPr>
        <w:rPr>
          <w:rFonts w:cs="Tahoma"/>
          <w:szCs w:val="18"/>
        </w:rPr>
      </w:pPr>
      <w:r w:rsidRPr="001C64EB">
        <w:rPr>
          <w:rFonts w:cs="Tahoma"/>
          <w:szCs w:val="18"/>
        </w:rPr>
        <w:t>Ocena kwalifikowalności wydatków polegająca na analizie zgodności jego poniesienia z obowiązującymi przepisami dokonywana jest w trakcie realizacji projektu oraz po jego zakończeniu – na etapie oceny przedkładanych wniosków o płatność oraz na etapie kontroli projektu.</w:t>
      </w:r>
    </w:p>
    <w:p w14:paraId="3580981D" w14:textId="77777777" w:rsidR="00F40C52" w:rsidRPr="001C64EB" w:rsidRDefault="00F40C52" w:rsidP="00707D93">
      <w:pPr>
        <w:pStyle w:val="Akapitzlist"/>
        <w:numPr>
          <w:ilvl w:val="0"/>
          <w:numId w:val="15"/>
        </w:numPr>
        <w:rPr>
          <w:rFonts w:cs="Tahoma"/>
          <w:szCs w:val="18"/>
        </w:rPr>
      </w:pPr>
      <w:proofErr w:type="spellStart"/>
      <w:r w:rsidRPr="001C64EB">
        <w:rPr>
          <w:rFonts w:cs="Tahoma"/>
          <w:szCs w:val="18"/>
        </w:rPr>
        <w:t>Grantodawca</w:t>
      </w:r>
      <w:proofErr w:type="spellEnd"/>
      <w:r w:rsidRPr="001C64EB">
        <w:rPr>
          <w:rFonts w:cs="Tahoma"/>
          <w:szCs w:val="18"/>
        </w:rPr>
        <w:t xml:space="preserve"> nie określa minimalnej kwoty Grantu, o którą może wnioskować </w:t>
      </w:r>
      <w:proofErr w:type="spellStart"/>
      <w:r w:rsidRPr="001C64EB">
        <w:rPr>
          <w:rFonts w:cs="Tahoma"/>
          <w:szCs w:val="18"/>
        </w:rPr>
        <w:t>Grantobiorca</w:t>
      </w:r>
      <w:proofErr w:type="spellEnd"/>
      <w:r w:rsidRPr="001C64EB">
        <w:rPr>
          <w:rFonts w:cs="Tahoma"/>
          <w:szCs w:val="18"/>
        </w:rPr>
        <w:t xml:space="preserve">. </w:t>
      </w:r>
    </w:p>
    <w:p w14:paraId="21586236" w14:textId="77777777" w:rsidR="00F40C52" w:rsidRPr="001C64EB" w:rsidRDefault="00F40C52" w:rsidP="00707D93">
      <w:pPr>
        <w:pStyle w:val="Akapitzlist"/>
        <w:numPr>
          <w:ilvl w:val="0"/>
          <w:numId w:val="15"/>
        </w:numPr>
        <w:rPr>
          <w:rFonts w:cs="Tahoma"/>
          <w:szCs w:val="18"/>
        </w:rPr>
      </w:pPr>
      <w:r w:rsidRPr="001C64EB">
        <w:rPr>
          <w:rFonts w:cs="Tahoma"/>
          <w:szCs w:val="18"/>
        </w:rPr>
        <w:t xml:space="preserve">Nie jest możliwe zwiększenie wysokości udzielonego Grantu. </w:t>
      </w:r>
    </w:p>
    <w:p w14:paraId="284786AD" w14:textId="77777777" w:rsidR="008D3C45" w:rsidRPr="001C64EB" w:rsidRDefault="00F40C52" w:rsidP="00707D93">
      <w:pPr>
        <w:pStyle w:val="Akapitzlist"/>
        <w:numPr>
          <w:ilvl w:val="0"/>
          <w:numId w:val="15"/>
        </w:numPr>
        <w:rPr>
          <w:rFonts w:cs="Tahoma"/>
          <w:szCs w:val="18"/>
        </w:rPr>
      </w:pPr>
      <w:r w:rsidRPr="001C64EB">
        <w:rPr>
          <w:rFonts w:cs="Tahoma"/>
          <w:szCs w:val="18"/>
        </w:rPr>
        <w:t xml:space="preserve">Wielkość, limity dofinansowania oraz podstawę prawną udzielenia Grantu, każdorazowo określa umowa o powierzenie Grantu zawierana pomiędzy </w:t>
      </w:r>
      <w:proofErr w:type="spellStart"/>
      <w:r w:rsidRPr="001C64EB">
        <w:rPr>
          <w:rFonts w:cs="Tahoma"/>
          <w:szCs w:val="18"/>
        </w:rPr>
        <w:t>Grantobiorcą</w:t>
      </w:r>
      <w:proofErr w:type="spellEnd"/>
      <w:r w:rsidRPr="001C64EB">
        <w:rPr>
          <w:rFonts w:cs="Tahoma"/>
          <w:szCs w:val="18"/>
        </w:rPr>
        <w:t xml:space="preserve"> a </w:t>
      </w:r>
      <w:proofErr w:type="spellStart"/>
      <w:r w:rsidRPr="001C64EB">
        <w:rPr>
          <w:rFonts w:cs="Tahoma"/>
          <w:szCs w:val="18"/>
        </w:rPr>
        <w:t>Grantodawcą</w:t>
      </w:r>
      <w:proofErr w:type="spellEnd"/>
      <w:r w:rsidRPr="001C64EB">
        <w:rPr>
          <w:rFonts w:cs="Tahoma"/>
          <w:szCs w:val="18"/>
        </w:rPr>
        <w:t>.</w:t>
      </w:r>
    </w:p>
    <w:p w14:paraId="56BC64A4" w14:textId="4382F620" w:rsidR="00F40C52" w:rsidRPr="001C64EB" w:rsidRDefault="008D3C45" w:rsidP="00707D93">
      <w:pPr>
        <w:pStyle w:val="Akapitzlist"/>
        <w:numPr>
          <w:ilvl w:val="0"/>
          <w:numId w:val="15"/>
        </w:numPr>
        <w:rPr>
          <w:rFonts w:cs="Tahoma"/>
          <w:szCs w:val="18"/>
        </w:rPr>
      </w:pPr>
      <w:r w:rsidRPr="001C64EB">
        <w:rPr>
          <w:rFonts w:cs="Tahoma"/>
          <w:szCs w:val="18"/>
        </w:rPr>
        <w:t>Wymiana źródeł ciepła dotyczy wyłącznie d</w:t>
      </w:r>
      <w:r w:rsidR="00516F1C" w:rsidRPr="001C64EB">
        <w:rPr>
          <w:rFonts w:cs="Tahoma"/>
          <w:szCs w:val="18"/>
        </w:rPr>
        <w:t>omów jednorodzinnych i mieszkań</w:t>
      </w:r>
      <w:r w:rsidRPr="001C64EB">
        <w:rPr>
          <w:rFonts w:cs="Tahoma"/>
          <w:szCs w:val="18"/>
        </w:rPr>
        <w:t>, lokale użytkowe muszą być wyłączone z projektu  lub kwalifikowalności.</w:t>
      </w:r>
      <w:r w:rsidR="00F40C52" w:rsidRPr="001C64EB">
        <w:rPr>
          <w:rFonts w:cs="Tahoma"/>
          <w:szCs w:val="18"/>
        </w:rPr>
        <w:t xml:space="preserve"> </w:t>
      </w:r>
    </w:p>
    <w:p w14:paraId="68FA52E8" w14:textId="344E058D" w:rsidR="00F40C52" w:rsidRPr="001C64EB" w:rsidRDefault="00C60FA4" w:rsidP="00884872">
      <w:pPr>
        <w:pStyle w:val="Nagwek1"/>
        <w:rPr>
          <w:color w:val="auto"/>
        </w:rPr>
      </w:pPr>
      <w:bookmarkStart w:id="8" w:name="_Toc5173998"/>
      <w:bookmarkStart w:id="9" w:name="_Toc7251557"/>
      <w:r w:rsidRPr="001C64EB">
        <w:rPr>
          <w:color w:val="auto"/>
        </w:rPr>
        <w:t>6. </w:t>
      </w:r>
      <w:r w:rsidR="00F40C52" w:rsidRPr="001C64EB">
        <w:rPr>
          <w:color w:val="auto"/>
        </w:rPr>
        <w:t>Maksymalny dopuszczalny poziom dofinansowania projektu lub maksymalna intensywność pomocy</w:t>
      </w:r>
      <w:bookmarkEnd w:id="8"/>
      <w:bookmarkEnd w:id="9"/>
    </w:p>
    <w:p w14:paraId="7B77FEC9" w14:textId="2B79C999" w:rsidR="00F40C52" w:rsidRPr="001C64EB" w:rsidRDefault="00F40C52" w:rsidP="00707D93">
      <w:pPr>
        <w:pStyle w:val="Akapitzlist"/>
        <w:numPr>
          <w:ilvl w:val="0"/>
          <w:numId w:val="16"/>
        </w:numPr>
        <w:rPr>
          <w:bCs/>
        </w:rPr>
      </w:pPr>
      <w:r w:rsidRPr="001C64EB">
        <w:rPr>
          <w:bCs/>
        </w:rPr>
        <w:t xml:space="preserve">W przypadku projektów nieobjętych pomocą publiczną oraz objętych pomocą de </w:t>
      </w:r>
      <w:proofErr w:type="spellStart"/>
      <w:r w:rsidRPr="001C64EB">
        <w:rPr>
          <w:bCs/>
        </w:rPr>
        <w:t>minimis</w:t>
      </w:r>
      <w:proofErr w:type="spellEnd"/>
      <w:r w:rsidRPr="001C64EB">
        <w:rPr>
          <w:bCs/>
        </w:rPr>
        <w:t xml:space="preserve"> maksymalny limit dofinansowania środków EFRR wynosi </w:t>
      </w:r>
      <w:r w:rsidRPr="001C64EB">
        <w:rPr>
          <w:b/>
          <w:bCs/>
        </w:rPr>
        <w:t>do 85% wydatków kwalifikowalnych</w:t>
      </w:r>
      <w:r w:rsidRPr="001C64EB">
        <w:rPr>
          <w:bCs/>
        </w:rPr>
        <w:t xml:space="preserve"> </w:t>
      </w:r>
      <w:r w:rsidR="00D10B75" w:rsidRPr="001C64EB">
        <w:rPr>
          <w:bCs/>
        </w:rPr>
        <w:t xml:space="preserve">z </w:t>
      </w:r>
      <w:r w:rsidRPr="001C64EB">
        <w:rPr>
          <w:bCs/>
        </w:rPr>
        <w:t xml:space="preserve">uwzględnieniem </w:t>
      </w:r>
      <w:r w:rsidR="00D10B75" w:rsidRPr="001C64EB">
        <w:rPr>
          <w:bCs/>
        </w:rPr>
        <w:t>zapisów dotyczących średniej wartości grantów</w:t>
      </w:r>
      <w:r w:rsidR="00853179" w:rsidRPr="001C64EB">
        <w:rPr>
          <w:bCs/>
        </w:rPr>
        <w:t>.</w:t>
      </w:r>
    </w:p>
    <w:p w14:paraId="7E3FBB99" w14:textId="60E8CBD3" w:rsidR="004A63EB" w:rsidRPr="001C64EB" w:rsidRDefault="00401FAE" w:rsidP="00707D93">
      <w:pPr>
        <w:pStyle w:val="Akapitzlist"/>
        <w:numPr>
          <w:ilvl w:val="0"/>
          <w:numId w:val="16"/>
        </w:numPr>
        <w:rPr>
          <w:bCs/>
        </w:rPr>
      </w:pPr>
      <w:r w:rsidRPr="001C64EB">
        <w:rPr>
          <w:bCs/>
        </w:rPr>
        <w:t xml:space="preserve">W przypadku projektów objętych pomocą de </w:t>
      </w:r>
      <w:proofErr w:type="spellStart"/>
      <w:r w:rsidRPr="001C64EB">
        <w:rPr>
          <w:bCs/>
        </w:rPr>
        <w:t>minimis</w:t>
      </w:r>
      <w:proofErr w:type="spellEnd"/>
      <w:r w:rsidRPr="001C64EB">
        <w:rPr>
          <w:bCs/>
        </w:rPr>
        <w:t xml:space="preserve"> zostanie zweryfikowane czy całkowita kwota pomocy de </w:t>
      </w:r>
      <w:proofErr w:type="spellStart"/>
      <w:r w:rsidRPr="001C64EB">
        <w:rPr>
          <w:bCs/>
        </w:rPr>
        <w:t>minimis</w:t>
      </w:r>
      <w:proofErr w:type="spellEnd"/>
      <w:r w:rsidRPr="001C64EB">
        <w:rPr>
          <w:bCs/>
        </w:rPr>
        <w:t xml:space="preserve"> dla danego podmiotu w okresie trzech lat podatkowych (z uwzględnieniem wnioskowanej kwoty pomocy de </w:t>
      </w:r>
      <w:proofErr w:type="spellStart"/>
      <w:r w:rsidRPr="001C64EB">
        <w:rPr>
          <w:bCs/>
        </w:rPr>
        <w:t>minimis</w:t>
      </w:r>
      <w:proofErr w:type="spellEnd"/>
      <w:r w:rsidRPr="001C64EB">
        <w:rPr>
          <w:bCs/>
        </w:rPr>
        <w:t xml:space="preserve"> oraz pomocy de </w:t>
      </w:r>
      <w:proofErr w:type="spellStart"/>
      <w:r w:rsidRPr="001C64EB">
        <w:rPr>
          <w:bCs/>
        </w:rPr>
        <w:t>minimis</w:t>
      </w:r>
      <w:proofErr w:type="spellEnd"/>
      <w:r w:rsidRPr="001C64EB">
        <w:rPr>
          <w:bCs/>
        </w:rPr>
        <w:t xml:space="preserve"> otrzymanej z innych źródeł) nie przekracza równowartości 200 000 euro. Informacja o otrzymanej przez </w:t>
      </w:r>
      <w:proofErr w:type="spellStart"/>
      <w:r w:rsidRPr="001C64EB">
        <w:rPr>
          <w:bCs/>
        </w:rPr>
        <w:t>Grantobiorcę</w:t>
      </w:r>
      <w:proofErr w:type="spellEnd"/>
      <w:r w:rsidRPr="001C64EB">
        <w:rPr>
          <w:bCs/>
        </w:rPr>
        <w:t xml:space="preserve"> pomocy de </w:t>
      </w:r>
      <w:proofErr w:type="spellStart"/>
      <w:r w:rsidRPr="001C64EB">
        <w:rPr>
          <w:bCs/>
        </w:rPr>
        <w:t>minimis</w:t>
      </w:r>
      <w:proofErr w:type="spellEnd"/>
      <w:r w:rsidRPr="001C64EB">
        <w:rPr>
          <w:bCs/>
        </w:rPr>
        <w:t xml:space="preserve"> zostanie zweryfikowana w oparciu o dane dostępne w systemie SUDOP oraz na podstawie załączników o otrzymanej pomocy de </w:t>
      </w:r>
      <w:proofErr w:type="spellStart"/>
      <w:r w:rsidRPr="001C64EB">
        <w:rPr>
          <w:bCs/>
        </w:rPr>
        <w:t>minimis</w:t>
      </w:r>
      <w:proofErr w:type="spellEnd"/>
      <w:r w:rsidRPr="001C64EB">
        <w:rPr>
          <w:bCs/>
        </w:rPr>
        <w:t xml:space="preserve">. Stwierdzenie przekroczenia dopuszczalnej kwoty pomocy de </w:t>
      </w:r>
      <w:proofErr w:type="spellStart"/>
      <w:r w:rsidRPr="001C64EB">
        <w:rPr>
          <w:bCs/>
        </w:rPr>
        <w:t>minimis</w:t>
      </w:r>
      <w:proofErr w:type="spellEnd"/>
      <w:r w:rsidRPr="001C64EB">
        <w:rPr>
          <w:bCs/>
        </w:rPr>
        <w:t xml:space="preserve"> będzie skutkowało zmniejszeniem dofinansowania lub odrzuceniem projektu podczas oceny wniosku. Ponowna weryfikacja poziomu otrzymanej pomocy de </w:t>
      </w:r>
      <w:proofErr w:type="spellStart"/>
      <w:r w:rsidRPr="001C64EB">
        <w:rPr>
          <w:bCs/>
        </w:rPr>
        <w:t>minimis</w:t>
      </w:r>
      <w:proofErr w:type="spellEnd"/>
      <w:r w:rsidRPr="001C64EB">
        <w:rPr>
          <w:bCs/>
        </w:rPr>
        <w:t xml:space="preserve"> przez </w:t>
      </w:r>
      <w:proofErr w:type="spellStart"/>
      <w:r w:rsidRPr="001C64EB">
        <w:rPr>
          <w:bCs/>
        </w:rPr>
        <w:t>Grantobiorcę</w:t>
      </w:r>
      <w:proofErr w:type="spellEnd"/>
      <w:r w:rsidRPr="001C64EB">
        <w:rPr>
          <w:bCs/>
        </w:rPr>
        <w:t xml:space="preserve"> będzie występowała na etapie podpisywania umowy o udzielenie grantu oraz wypłaty grantu</w:t>
      </w:r>
      <w:r w:rsidR="000C4EF3" w:rsidRPr="001C64EB">
        <w:rPr>
          <w:bCs/>
        </w:rPr>
        <w:t xml:space="preserve">. </w:t>
      </w:r>
    </w:p>
    <w:p w14:paraId="457659FC" w14:textId="5639B0C8" w:rsidR="00F40C52" w:rsidRPr="001C64EB" w:rsidRDefault="00F40C52" w:rsidP="00707D93">
      <w:pPr>
        <w:pStyle w:val="Akapitzlist"/>
        <w:numPr>
          <w:ilvl w:val="0"/>
          <w:numId w:val="16"/>
        </w:numPr>
        <w:rPr>
          <w:bCs/>
        </w:rPr>
      </w:pPr>
      <w:r w:rsidRPr="001C64EB">
        <w:rPr>
          <w:bCs/>
        </w:rPr>
        <w:t xml:space="preserve">W przypadku pomocy udzielanej na podstawie GBER – </w:t>
      </w:r>
      <w:r w:rsidRPr="001C64EB">
        <w:rPr>
          <w:b/>
          <w:bCs/>
        </w:rPr>
        <w:t>zgodnie z limitem  określonym w rozporządzeniu</w:t>
      </w:r>
      <w:r w:rsidR="00853179" w:rsidRPr="001C64EB">
        <w:rPr>
          <w:bCs/>
        </w:rPr>
        <w:t>:</w:t>
      </w:r>
    </w:p>
    <w:p w14:paraId="6866E0DA" w14:textId="21D16458" w:rsidR="00F40C52" w:rsidRPr="001C64EB" w:rsidRDefault="00F40C52" w:rsidP="00707D93">
      <w:pPr>
        <w:pStyle w:val="Akapitzlist"/>
        <w:numPr>
          <w:ilvl w:val="0"/>
          <w:numId w:val="14"/>
        </w:numPr>
      </w:pPr>
      <w:r w:rsidRPr="001C64EB">
        <w:t xml:space="preserve">art. 37 GBER tj. pomocy inwestycyjnej na wcześniejsze dostosowanie do przyszłych norm unijnych oraz rozporządzenia Ministra Infrastruktury i Rozwoju z dnia 5 listopada 2015 r. w sprawie udzielania pomocy </w:t>
      </w:r>
      <w:r w:rsidRPr="001C64EB">
        <w:lastRenderedPageBreak/>
        <w:t xml:space="preserve">na realizację inwestycji służących podniesieniu poziomu ochrony środowiska w ramach regionalnych programów operacyjnych na lata 2014–2020; </w:t>
      </w:r>
    </w:p>
    <w:p w14:paraId="4DCCEFE6" w14:textId="77777777" w:rsidR="00F40C52" w:rsidRPr="001C64EB" w:rsidRDefault="00F40C52" w:rsidP="00707D93">
      <w:pPr>
        <w:pStyle w:val="Akapitzlist"/>
        <w:numPr>
          <w:ilvl w:val="0"/>
          <w:numId w:val="14"/>
        </w:numPr>
      </w:pPr>
      <w:r w:rsidRPr="001C64EB">
        <w:t>art. 41 GBER tj. pomocy inwestycyjnej na propagowanie energii ze źródeł odnawialnych oraz 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53487FC5" w14:textId="72AC275A" w:rsidR="00F40C52" w:rsidRPr="001C64EB" w:rsidRDefault="00F40C52" w:rsidP="00707D93">
      <w:pPr>
        <w:pStyle w:val="Akapitzlist"/>
        <w:numPr>
          <w:ilvl w:val="0"/>
          <w:numId w:val="16"/>
        </w:numPr>
        <w:rPr>
          <w:bCs/>
        </w:rPr>
      </w:pPr>
      <w:r w:rsidRPr="001C64EB">
        <w:rPr>
          <w:bCs/>
        </w:rPr>
        <w:t xml:space="preserve">Montaż </w:t>
      </w:r>
      <w:proofErr w:type="spellStart"/>
      <w:r w:rsidRPr="001C64EB">
        <w:rPr>
          <w:bCs/>
        </w:rPr>
        <w:t>mikroinstalacji</w:t>
      </w:r>
      <w:proofErr w:type="spellEnd"/>
      <w:r w:rsidRPr="001C64EB">
        <w:rPr>
          <w:bCs/>
        </w:rPr>
        <w:t xml:space="preserve"> OZE w domu jednorodzinnym/ budynku wielorodzinnym w którym nie jest prowadzona działalność gospodarcza/ którego właściciel/ najemca nie jest przedsiębiorcą nie stanowi pomocy publicznej jeśli spełnione zostaną wszystkie poniższe warunki: </w:t>
      </w:r>
    </w:p>
    <w:p w14:paraId="1F5A8C86" w14:textId="4CB9AF0D" w:rsidR="00F40C52" w:rsidRPr="001C64EB" w:rsidRDefault="00F40C52" w:rsidP="00707D93">
      <w:pPr>
        <w:pStyle w:val="Akapitzlist"/>
        <w:numPr>
          <w:ilvl w:val="0"/>
          <w:numId w:val="14"/>
        </w:numPr>
      </w:pPr>
      <w:proofErr w:type="spellStart"/>
      <w:r w:rsidRPr="001C64EB">
        <w:t>grantobiorca</w:t>
      </w:r>
      <w:proofErr w:type="spellEnd"/>
      <w:r w:rsidRPr="001C64EB">
        <w:t xml:space="preserve"> nie prowadzi działalności gospodarczej i nie udostępnia powierzchni innym podmiotom w celu prowadzenia działalności gospodarczej/</w:t>
      </w:r>
      <w:r w:rsidR="000C4EF3" w:rsidRPr="001C64EB">
        <w:t xml:space="preserve"> </w:t>
      </w:r>
      <w:r w:rsidRPr="001C64EB">
        <w:t xml:space="preserve">oświadczenie </w:t>
      </w:r>
      <w:proofErr w:type="spellStart"/>
      <w:r w:rsidRPr="001C64EB">
        <w:t>Grantobiorcy</w:t>
      </w:r>
      <w:proofErr w:type="spellEnd"/>
      <w:r w:rsidR="00557692" w:rsidRPr="001C64EB">
        <w:t>;</w:t>
      </w:r>
    </w:p>
    <w:p w14:paraId="6FCDAFFE" w14:textId="05243BDF" w:rsidR="00F40C52" w:rsidRPr="001C64EB" w:rsidRDefault="00F40C52" w:rsidP="00707D93">
      <w:pPr>
        <w:pStyle w:val="Akapitzlist"/>
        <w:numPr>
          <w:ilvl w:val="0"/>
          <w:numId w:val="14"/>
        </w:numPr>
      </w:pPr>
      <w:r w:rsidRPr="001C64EB">
        <w:t>wytworzona energia jest zużywana na potrzeby własne/</w:t>
      </w:r>
      <w:r w:rsidR="000C4EF3" w:rsidRPr="001C64EB">
        <w:t xml:space="preserve"> </w:t>
      </w:r>
      <w:r w:rsidRPr="001C64EB">
        <w:t xml:space="preserve">oświadczenie </w:t>
      </w:r>
      <w:proofErr w:type="spellStart"/>
      <w:r w:rsidRPr="001C64EB">
        <w:t>Grantobiorcy</w:t>
      </w:r>
      <w:proofErr w:type="spellEnd"/>
      <w:r w:rsidR="00557692" w:rsidRPr="001C64EB">
        <w:t>;</w:t>
      </w:r>
    </w:p>
    <w:p w14:paraId="40E58FC5" w14:textId="139A4F82" w:rsidR="00F40C52" w:rsidRPr="001C64EB" w:rsidRDefault="00F40C52" w:rsidP="00707D93">
      <w:pPr>
        <w:pStyle w:val="Akapitzlist"/>
        <w:numPr>
          <w:ilvl w:val="0"/>
          <w:numId w:val="14"/>
        </w:numPr>
      </w:pPr>
      <w:r w:rsidRPr="001C64EB">
        <w:t>rozmiar (zdolność wytwórcza instalacji) nie przekracza realnego zapotrzebowania na energię danego prosumenta/</w:t>
      </w:r>
      <w:r w:rsidR="000C4EF3" w:rsidRPr="001C64EB">
        <w:t xml:space="preserve"> </w:t>
      </w:r>
      <w:r w:rsidRPr="001C64EB">
        <w:t>i wynika to z przeprowadzonej  oceny  zapotrzebowania na energię na podstawie zużycia z lat ubiegłych</w:t>
      </w:r>
      <w:r w:rsidR="000C4EF3" w:rsidRPr="001C64EB">
        <w:t>,</w:t>
      </w:r>
      <w:r w:rsidRPr="001C64EB">
        <w:t xml:space="preserve"> z uwzględnieniem sytuacji, gdy potrzeby te ulegną zwiększeniu ze względu na planowe wykorzystanie energii elektrycznej z OZE na potrzeby grzewcze.</w:t>
      </w:r>
    </w:p>
    <w:p w14:paraId="6382306B" w14:textId="52872A3D" w:rsidR="00F40C52" w:rsidRPr="001C64EB" w:rsidRDefault="00F40C52" w:rsidP="00707D93">
      <w:pPr>
        <w:pStyle w:val="Akapitzlist"/>
        <w:numPr>
          <w:ilvl w:val="0"/>
          <w:numId w:val="16"/>
        </w:numPr>
        <w:rPr>
          <w:bCs/>
        </w:rPr>
      </w:pPr>
      <w:r w:rsidRPr="001C64EB">
        <w:rPr>
          <w:bCs/>
        </w:rPr>
        <w:t xml:space="preserve">Wielkość, limity dofinansowania oraz podstawę prawną udzielenia grantu, każdorazowo określa umowa o powierzenie grantu zawierana pomiędzy </w:t>
      </w:r>
      <w:proofErr w:type="spellStart"/>
      <w:r w:rsidRPr="001C64EB">
        <w:rPr>
          <w:bCs/>
        </w:rPr>
        <w:t>Grantodawcą</w:t>
      </w:r>
      <w:proofErr w:type="spellEnd"/>
      <w:r w:rsidRPr="001C64EB">
        <w:rPr>
          <w:bCs/>
        </w:rPr>
        <w:t xml:space="preserve"> a </w:t>
      </w:r>
      <w:proofErr w:type="spellStart"/>
      <w:r w:rsidRPr="001C64EB">
        <w:rPr>
          <w:bCs/>
        </w:rPr>
        <w:t>Grantobiorcą</w:t>
      </w:r>
      <w:proofErr w:type="spellEnd"/>
      <w:r w:rsidRPr="001C64EB">
        <w:rPr>
          <w:bCs/>
        </w:rPr>
        <w:t>.</w:t>
      </w:r>
    </w:p>
    <w:p w14:paraId="75CE1996" w14:textId="4328856C" w:rsidR="0067356B" w:rsidRPr="001C64EB" w:rsidRDefault="0067356B" w:rsidP="00707D93">
      <w:pPr>
        <w:pStyle w:val="Akapitzlist"/>
        <w:numPr>
          <w:ilvl w:val="0"/>
          <w:numId w:val="16"/>
        </w:numPr>
        <w:rPr>
          <w:bCs/>
        </w:rPr>
      </w:pPr>
      <w:proofErr w:type="spellStart"/>
      <w:r w:rsidRPr="001C64EB">
        <w:t>Grantobiorca</w:t>
      </w:r>
      <w:proofErr w:type="spellEnd"/>
      <w:r w:rsidRPr="001C64EB">
        <w:t xml:space="preserve"> zobowiązany jest do wniesienia wkładu własnego na poniesienie wydatków kwalifikowalnych w części, która nie została sfinansowana grantem oraz wydatków niekwalifikowalnych. Wkład własny musi nastąpić w formie pieniężnej.</w:t>
      </w:r>
    </w:p>
    <w:p w14:paraId="70FE6A6A" w14:textId="77777777" w:rsidR="008D3C45" w:rsidRPr="001C64EB" w:rsidRDefault="008D3C45" w:rsidP="008D3C45">
      <w:pPr>
        <w:pStyle w:val="Akapitzlist"/>
        <w:numPr>
          <w:ilvl w:val="0"/>
          <w:numId w:val="16"/>
        </w:numPr>
        <w:rPr>
          <w:rFonts w:cs="Tahoma"/>
          <w:szCs w:val="18"/>
        </w:rPr>
      </w:pPr>
      <w:r w:rsidRPr="001C64EB">
        <w:rPr>
          <w:rFonts w:cs="Tahoma"/>
          <w:szCs w:val="18"/>
        </w:rPr>
        <w:t xml:space="preserve">Wymiana źródeł ciepła dotyczy wyłącznie domów jednorodzinnych i mieszkań , lokale użytkowe muszą być wyłączone z projektu  lub kwalifikowalności. </w:t>
      </w:r>
    </w:p>
    <w:p w14:paraId="528FC827" w14:textId="77777777" w:rsidR="008D3C45" w:rsidRPr="001C64EB" w:rsidRDefault="008D3C45" w:rsidP="008D3C45">
      <w:pPr>
        <w:pStyle w:val="Akapitzlist"/>
        <w:ind w:left="349"/>
        <w:rPr>
          <w:bCs/>
        </w:rPr>
      </w:pPr>
    </w:p>
    <w:p w14:paraId="44F65628" w14:textId="4FA94C1C" w:rsidR="006D2304" w:rsidRPr="001C64EB" w:rsidRDefault="00C60FA4" w:rsidP="00325743">
      <w:pPr>
        <w:pStyle w:val="Nagwek1"/>
        <w:rPr>
          <w:color w:val="auto"/>
        </w:rPr>
      </w:pPr>
      <w:bookmarkStart w:id="10" w:name="_Toc7251558"/>
      <w:r w:rsidRPr="001C64EB">
        <w:rPr>
          <w:color w:val="auto"/>
        </w:rPr>
        <w:t>7. </w:t>
      </w:r>
      <w:r w:rsidR="006D2304" w:rsidRPr="001C64EB">
        <w:rPr>
          <w:color w:val="auto"/>
        </w:rPr>
        <w:t>Ogłoszenie naboru – nabór otwarty</w:t>
      </w:r>
      <w:bookmarkEnd w:id="10"/>
    </w:p>
    <w:p w14:paraId="68BF839F" w14:textId="68620E0F" w:rsidR="006D2304" w:rsidRPr="001C64EB" w:rsidRDefault="007C78CD" w:rsidP="00707D93">
      <w:pPr>
        <w:pStyle w:val="Akapitzlist"/>
        <w:numPr>
          <w:ilvl w:val="0"/>
          <w:numId w:val="20"/>
        </w:numPr>
      </w:pPr>
      <w:r w:rsidRPr="001C64EB">
        <w:t>W</w:t>
      </w:r>
      <w:r w:rsidR="006D2304" w:rsidRPr="001C64EB">
        <w:t xml:space="preserve">nioski przyjmowane są w sposób ciągły, aż do momentu gdy łączna wartość dofinansowania o jaką starają się </w:t>
      </w:r>
      <w:proofErr w:type="spellStart"/>
      <w:r w:rsidR="006D2304" w:rsidRPr="001C64EB">
        <w:t>Grantobiorcy</w:t>
      </w:r>
      <w:proofErr w:type="spellEnd"/>
      <w:r w:rsidR="006D2304" w:rsidRPr="001C64EB">
        <w:t xml:space="preserve"> osiągnie 12</w:t>
      </w:r>
      <w:r w:rsidR="0066029C" w:rsidRPr="001C64EB">
        <w:t>5</w:t>
      </w:r>
      <w:r w:rsidR="006D2304" w:rsidRPr="001C64EB">
        <w:t>% dostępnej dla naboru puli pieniędzy</w:t>
      </w:r>
      <w:r w:rsidR="0066029C" w:rsidRPr="001C64EB">
        <w:t xml:space="preserve">. </w:t>
      </w:r>
      <w:r w:rsidR="006D2304" w:rsidRPr="001C64EB">
        <w:t xml:space="preserve">W momencie </w:t>
      </w:r>
      <w:r w:rsidR="0066029C" w:rsidRPr="001C64EB">
        <w:t xml:space="preserve">kiedy łączna wartość dofinansowania o jaką starają się </w:t>
      </w:r>
      <w:proofErr w:type="spellStart"/>
      <w:r w:rsidR="0066029C" w:rsidRPr="001C64EB">
        <w:t>Grantobiorcy</w:t>
      </w:r>
      <w:proofErr w:type="spellEnd"/>
      <w:r w:rsidR="0066029C" w:rsidRPr="001C64EB">
        <w:t xml:space="preserve"> osiągnie 125% dostępnej dla naboru puli pieniędzy</w:t>
      </w:r>
      <w:r w:rsidR="00151A69" w:rsidRPr="001C64EB">
        <w:t xml:space="preserve"> z</w:t>
      </w:r>
      <w:r w:rsidR="0066029C" w:rsidRPr="001C64EB">
        <w:t xml:space="preserve">ostanie wydany komunikat o zamknięciu naboru. Od tego momentu wnioski będzie można składać jeszcze przez </w:t>
      </w:r>
      <w:r w:rsidR="00151A69" w:rsidRPr="001C64EB">
        <w:t>14</w:t>
      </w:r>
      <w:r w:rsidR="0066029C" w:rsidRPr="001C64EB">
        <w:t xml:space="preserve"> dni</w:t>
      </w:r>
      <w:r w:rsidR="00151A69" w:rsidRPr="001C64EB">
        <w:t>.</w:t>
      </w:r>
    </w:p>
    <w:p w14:paraId="7DD08ED4" w14:textId="463A7D4D" w:rsidR="004A63EB" w:rsidRPr="001C64EB" w:rsidRDefault="00151A69" w:rsidP="00707D93">
      <w:pPr>
        <w:pStyle w:val="Akapitzlist"/>
        <w:numPr>
          <w:ilvl w:val="0"/>
          <w:numId w:val="20"/>
        </w:numPr>
      </w:pPr>
      <w:r w:rsidRPr="001C64EB">
        <w:t xml:space="preserve">Jeżeli w ciągu 2 miesięcy od ogłoszenia naboru łączna wartość dofinansowania o jaką starają się </w:t>
      </w:r>
      <w:proofErr w:type="spellStart"/>
      <w:r w:rsidRPr="001C64EB">
        <w:t>Grantobiorcy</w:t>
      </w:r>
      <w:proofErr w:type="spellEnd"/>
      <w:r w:rsidRPr="001C64EB">
        <w:t xml:space="preserve"> nie osiągnie 125% dostępnej dla naboru puli pieniędzy, </w:t>
      </w:r>
      <w:proofErr w:type="spellStart"/>
      <w:r w:rsidRPr="001C64EB">
        <w:t>Granto</w:t>
      </w:r>
      <w:r w:rsidR="00D84FCF">
        <w:t>dawca</w:t>
      </w:r>
      <w:proofErr w:type="spellEnd"/>
      <w:r w:rsidRPr="001C64EB">
        <w:t xml:space="preserve"> będzie kontynuował nabór a złożone wniosk</w:t>
      </w:r>
      <w:r w:rsidR="007002A5" w:rsidRPr="001C64EB">
        <w:t>i</w:t>
      </w:r>
      <w:r w:rsidRPr="001C64EB">
        <w:t xml:space="preserve"> zostaną poddane </w:t>
      </w:r>
      <w:r w:rsidR="00DD106F" w:rsidRPr="001C64EB">
        <w:t xml:space="preserve">pełnej </w:t>
      </w:r>
      <w:r w:rsidRPr="001C64EB">
        <w:t xml:space="preserve">procedurze oceny zgodnie z </w:t>
      </w:r>
      <w:r w:rsidR="00CA3E4E" w:rsidRPr="001C64EB">
        <w:t>punktem 8</w:t>
      </w:r>
      <w:r w:rsidRPr="001C64EB">
        <w:t>.</w:t>
      </w:r>
    </w:p>
    <w:p w14:paraId="28BD132E" w14:textId="70A3A7F9" w:rsidR="007C78CD" w:rsidRPr="001C64EB" w:rsidRDefault="007C78CD" w:rsidP="00707D93">
      <w:pPr>
        <w:pStyle w:val="Akapitzlist"/>
        <w:numPr>
          <w:ilvl w:val="0"/>
          <w:numId w:val="20"/>
        </w:numPr>
      </w:pPr>
      <w:r w:rsidRPr="001C64EB">
        <w:t>Kolejne cykle oceny będą prowadzone co dwa miesiące</w:t>
      </w:r>
      <w:r w:rsidR="00C86159" w:rsidRPr="001C64EB">
        <w:t xml:space="preserve"> aż do spełnienia warunku w pkt nr 1.</w:t>
      </w:r>
    </w:p>
    <w:p w14:paraId="7B191166" w14:textId="6C13EBC9" w:rsidR="006D2304" w:rsidRPr="001C64EB" w:rsidRDefault="00C60FA4" w:rsidP="00325743">
      <w:pPr>
        <w:pStyle w:val="Nagwek1"/>
        <w:rPr>
          <w:color w:val="auto"/>
        </w:rPr>
      </w:pPr>
      <w:bookmarkStart w:id="11" w:name="_Toc7251559"/>
      <w:r w:rsidRPr="001C64EB">
        <w:rPr>
          <w:color w:val="auto"/>
        </w:rPr>
        <w:t>8. </w:t>
      </w:r>
      <w:r w:rsidR="008C54E3" w:rsidRPr="001C64EB">
        <w:rPr>
          <w:color w:val="auto"/>
        </w:rPr>
        <w:t>Tryb aplikowania o granty</w:t>
      </w:r>
      <w:bookmarkEnd w:id="11"/>
    </w:p>
    <w:p w14:paraId="707A06A5" w14:textId="77777777" w:rsidR="005072EF" w:rsidRPr="001C64EB" w:rsidRDefault="008C54E3" w:rsidP="00707D93">
      <w:pPr>
        <w:pStyle w:val="Akapitzlist"/>
        <w:numPr>
          <w:ilvl w:val="0"/>
          <w:numId w:val="21"/>
        </w:numPr>
        <w:rPr>
          <w:rFonts w:cs="Tahoma"/>
          <w:szCs w:val="18"/>
        </w:rPr>
      </w:pPr>
      <w:r w:rsidRPr="001C64EB">
        <w:rPr>
          <w:rFonts w:cs="Tahoma"/>
          <w:b/>
          <w:szCs w:val="18"/>
        </w:rPr>
        <w:t>Procedura składania wniosków</w:t>
      </w:r>
      <w:r w:rsidRPr="001C64EB">
        <w:rPr>
          <w:rFonts w:cs="Tahoma"/>
          <w:szCs w:val="18"/>
        </w:rPr>
        <w:t xml:space="preserve">: </w:t>
      </w:r>
    </w:p>
    <w:p w14:paraId="107496BD" w14:textId="77777777" w:rsidR="005072EF" w:rsidRPr="001C64EB" w:rsidRDefault="00834A12" w:rsidP="00707D93">
      <w:pPr>
        <w:pStyle w:val="Akapitzlist"/>
        <w:numPr>
          <w:ilvl w:val="1"/>
          <w:numId w:val="21"/>
        </w:numPr>
        <w:rPr>
          <w:rFonts w:cs="Tahoma"/>
          <w:szCs w:val="18"/>
        </w:rPr>
      </w:pPr>
      <w:proofErr w:type="spellStart"/>
      <w:r w:rsidRPr="001C64EB">
        <w:t>Grantobiorca</w:t>
      </w:r>
      <w:proofErr w:type="spellEnd"/>
      <w:r w:rsidRPr="001C64EB">
        <w:t xml:space="preserve"> wypełnia wniosek o grant na wzorze wniosku o grant</w:t>
      </w:r>
      <w:r w:rsidR="00F21202" w:rsidRPr="001C64EB">
        <w:t xml:space="preserve"> </w:t>
      </w:r>
      <w:r w:rsidRPr="001C64EB">
        <w:t xml:space="preserve">będącym Załącznikiem nr 1 do Procedury realizacji projektu grantowego. Następnie </w:t>
      </w:r>
      <w:r w:rsidR="0036562F" w:rsidRPr="001C64EB">
        <w:t>d</w:t>
      </w:r>
      <w:r w:rsidRPr="001C64EB">
        <w:t xml:space="preserve">o siedziby </w:t>
      </w:r>
      <w:proofErr w:type="spellStart"/>
      <w:r w:rsidRPr="001C64EB">
        <w:t>Grantobiorcy</w:t>
      </w:r>
      <w:proofErr w:type="spellEnd"/>
      <w:r w:rsidRPr="001C64EB">
        <w:t xml:space="preserve"> należy dostarczyć jeden</w:t>
      </w:r>
      <w:r w:rsidR="00785EEB" w:rsidRPr="001C64EB">
        <w:t xml:space="preserve"> </w:t>
      </w:r>
      <w:r w:rsidRPr="001C64EB">
        <w:t>egzemplarz wydrukowanej papierowej wersji wniosku</w:t>
      </w:r>
      <w:r w:rsidR="00F21202" w:rsidRPr="001C64EB">
        <w:t xml:space="preserve"> </w:t>
      </w:r>
      <w:r w:rsidR="00785EEB" w:rsidRPr="001C64EB">
        <w:t>w oryginale</w:t>
      </w:r>
      <w:r w:rsidRPr="001C64EB">
        <w:t xml:space="preserve"> opatrzonej czytelnym podpisem </w:t>
      </w:r>
      <w:proofErr w:type="spellStart"/>
      <w:r w:rsidRPr="001C64EB">
        <w:t>Grantobiorcy</w:t>
      </w:r>
      <w:proofErr w:type="spellEnd"/>
      <w:r w:rsidRPr="001C64EB">
        <w:t>.</w:t>
      </w:r>
      <w:r w:rsidR="003276EB" w:rsidRPr="001C64EB">
        <w:t xml:space="preserve"> </w:t>
      </w:r>
    </w:p>
    <w:p w14:paraId="17F74975" w14:textId="77777777" w:rsidR="005072EF" w:rsidRPr="001C64EB" w:rsidRDefault="00785EEB" w:rsidP="00707D93">
      <w:pPr>
        <w:pStyle w:val="Akapitzlist"/>
        <w:numPr>
          <w:ilvl w:val="1"/>
          <w:numId w:val="21"/>
        </w:numPr>
        <w:rPr>
          <w:rFonts w:cs="Tahoma"/>
          <w:szCs w:val="18"/>
        </w:rPr>
      </w:pPr>
      <w:r w:rsidRPr="001C64EB">
        <w:lastRenderedPageBreak/>
        <w:t>Razem z wnioskiem o gran</w:t>
      </w:r>
      <w:r w:rsidR="003276EB" w:rsidRPr="001C64EB">
        <w:t>t</w:t>
      </w:r>
      <w:r w:rsidRPr="001C64EB">
        <w:t xml:space="preserve"> należy dostarczyć wymagane załączniki, który</w:t>
      </w:r>
      <w:r w:rsidR="00CB45A9" w:rsidRPr="001C64EB">
        <w:t>ch</w:t>
      </w:r>
      <w:r w:rsidRPr="001C64EB">
        <w:t xml:space="preserve"> lista i wzory znajdują się na końcu formularza wniosku o grant.</w:t>
      </w:r>
    </w:p>
    <w:p w14:paraId="35A6ED08" w14:textId="4C23AA92" w:rsidR="00785EEB" w:rsidRPr="001C64EB" w:rsidRDefault="00785EEB" w:rsidP="00707D93">
      <w:pPr>
        <w:pStyle w:val="Akapitzlist"/>
        <w:numPr>
          <w:ilvl w:val="0"/>
          <w:numId w:val="22"/>
        </w:numPr>
        <w:rPr>
          <w:rFonts w:cs="Tahoma"/>
          <w:szCs w:val="18"/>
        </w:rPr>
      </w:pPr>
      <w:r w:rsidRPr="001C64EB">
        <w:t xml:space="preserve">Załączniki wypełniane na wzorach należy dostarczyć w </w:t>
      </w:r>
      <w:r w:rsidR="008C54E3" w:rsidRPr="001C64EB">
        <w:rPr>
          <w:rFonts w:cs="Tahoma"/>
          <w:szCs w:val="18"/>
        </w:rPr>
        <w:t>orygina</w:t>
      </w:r>
      <w:r w:rsidRPr="001C64EB">
        <w:rPr>
          <w:rFonts w:cs="Tahoma"/>
          <w:szCs w:val="18"/>
        </w:rPr>
        <w:t xml:space="preserve">łach opatrzonych </w:t>
      </w:r>
      <w:r w:rsidRPr="001C64EB">
        <w:t xml:space="preserve">czytelnym podpisem </w:t>
      </w:r>
      <w:proofErr w:type="spellStart"/>
      <w:r w:rsidRPr="001C64EB">
        <w:t>Grantobiorcy</w:t>
      </w:r>
      <w:proofErr w:type="spellEnd"/>
      <w:r w:rsidR="003276EB" w:rsidRPr="001C64EB">
        <w:t>.</w:t>
      </w:r>
    </w:p>
    <w:p w14:paraId="417322C5" w14:textId="77777777" w:rsidR="005072EF" w:rsidRPr="001C64EB" w:rsidRDefault="00785EEB" w:rsidP="00707D93">
      <w:pPr>
        <w:pStyle w:val="Akapitzlist"/>
        <w:numPr>
          <w:ilvl w:val="0"/>
          <w:numId w:val="22"/>
        </w:numPr>
        <w:rPr>
          <w:rFonts w:cs="Tahoma"/>
          <w:szCs w:val="18"/>
        </w:rPr>
      </w:pPr>
      <w:r w:rsidRPr="001C64EB">
        <w:rPr>
          <w:rFonts w:cs="Tahoma"/>
          <w:szCs w:val="18"/>
        </w:rPr>
        <w:t>Z</w:t>
      </w:r>
      <w:r w:rsidR="008C54E3" w:rsidRPr="001C64EB">
        <w:rPr>
          <w:rFonts w:cs="Tahoma"/>
          <w:szCs w:val="18"/>
        </w:rPr>
        <w:t xml:space="preserve">ałączniki będące kopiami dokumentów powinny być potwierdzone „za zgodność z oryginałem” i </w:t>
      </w:r>
      <w:r w:rsidRPr="001C64EB">
        <w:rPr>
          <w:rFonts w:cs="Tahoma"/>
          <w:szCs w:val="18"/>
        </w:rPr>
        <w:t>opatrzon</w:t>
      </w:r>
      <w:r w:rsidR="003276EB" w:rsidRPr="001C64EB">
        <w:rPr>
          <w:rFonts w:cs="Tahoma"/>
          <w:szCs w:val="18"/>
        </w:rPr>
        <w:t>e</w:t>
      </w:r>
      <w:r w:rsidRPr="001C64EB">
        <w:rPr>
          <w:rFonts w:cs="Tahoma"/>
          <w:szCs w:val="18"/>
        </w:rPr>
        <w:t xml:space="preserve"> </w:t>
      </w:r>
      <w:r w:rsidRPr="001C64EB">
        <w:t xml:space="preserve">czytelnym podpisem </w:t>
      </w:r>
      <w:proofErr w:type="spellStart"/>
      <w:r w:rsidRPr="001C64EB">
        <w:t>Grantobiorcy</w:t>
      </w:r>
      <w:proofErr w:type="spellEnd"/>
      <w:r w:rsidR="003276EB" w:rsidRPr="001C64EB">
        <w:t xml:space="preserve">. </w:t>
      </w:r>
      <w:r w:rsidR="008C54E3" w:rsidRPr="001C64EB">
        <w:rPr>
          <w:rFonts w:cs="Tahoma"/>
          <w:szCs w:val="18"/>
        </w:rPr>
        <w:t xml:space="preserve">Przez kopię potwierdzoną za zgodność z oryginałem należy rozumieć: </w:t>
      </w:r>
    </w:p>
    <w:p w14:paraId="60A80A7E" w14:textId="6249BA0B" w:rsidR="008C54E3" w:rsidRPr="001C64EB" w:rsidRDefault="008C54E3" w:rsidP="00707D93">
      <w:pPr>
        <w:pStyle w:val="Akapitzlist"/>
        <w:numPr>
          <w:ilvl w:val="0"/>
          <w:numId w:val="23"/>
        </w:numPr>
        <w:rPr>
          <w:rFonts w:cs="Tahoma"/>
          <w:szCs w:val="18"/>
        </w:rPr>
      </w:pPr>
      <w:r w:rsidRPr="001C64EB">
        <w:rPr>
          <w:rFonts w:cs="Tahoma"/>
          <w:szCs w:val="18"/>
        </w:rPr>
        <w:t xml:space="preserve">kopię dokumentu zawierającego klauzulę „za zgodność z oryginałem” umieszczoną na każde stronie dokumentu wraz z czytelnym podpisem (imię i nazwisko) </w:t>
      </w:r>
      <w:proofErr w:type="spellStart"/>
      <w:r w:rsidR="003276EB" w:rsidRPr="001C64EB">
        <w:rPr>
          <w:rFonts w:cs="Tahoma"/>
          <w:szCs w:val="18"/>
        </w:rPr>
        <w:t>Grantobiorcy</w:t>
      </w:r>
      <w:proofErr w:type="spellEnd"/>
      <w:r w:rsidR="003276EB" w:rsidRPr="001C64EB">
        <w:rPr>
          <w:rFonts w:cs="Tahoma"/>
          <w:szCs w:val="18"/>
        </w:rPr>
        <w:t>, lub</w:t>
      </w:r>
    </w:p>
    <w:p w14:paraId="29A766E8" w14:textId="407116A5" w:rsidR="008C54E3" w:rsidRPr="001C64EB" w:rsidRDefault="008C54E3" w:rsidP="00707D93">
      <w:pPr>
        <w:pStyle w:val="Akapitzlist"/>
        <w:numPr>
          <w:ilvl w:val="0"/>
          <w:numId w:val="23"/>
        </w:numPr>
        <w:rPr>
          <w:rFonts w:cs="Tahoma"/>
          <w:szCs w:val="18"/>
        </w:rPr>
      </w:pPr>
      <w:r w:rsidRPr="001C64EB">
        <w:rPr>
          <w:rFonts w:cs="Tahoma"/>
          <w:szCs w:val="18"/>
        </w:rPr>
        <w:t>kopi</w:t>
      </w:r>
      <w:r w:rsidR="003276EB" w:rsidRPr="001C64EB">
        <w:rPr>
          <w:rFonts w:cs="Tahoma"/>
          <w:szCs w:val="18"/>
        </w:rPr>
        <w:t>ę</w:t>
      </w:r>
      <w:r w:rsidRPr="001C64EB">
        <w:rPr>
          <w:rFonts w:cs="Tahoma"/>
          <w:szCs w:val="18"/>
        </w:rPr>
        <w:t xml:space="preserve"> dokumentu zawierającą na pierwszej stronie dokumentu klauzulę „za zgodność z oryginałem od strony … do strony …</w:t>
      </w:r>
      <w:r w:rsidR="003276EB" w:rsidRPr="001C64EB">
        <w:rPr>
          <w:rFonts w:cs="Tahoma"/>
          <w:szCs w:val="18"/>
        </w:rPr>
        <w:t xml:space="preserve"> wraz z czytelnym podpisem (imię i nazwisko) </w:t>
      </w:r>
      <w:proofErr w:type="spellStart"/>
      <w:r w:rsidR="003276EB" w:rsidRPr="001C64EB">
        <w:rPr>
          <w:rFonts w:cs="Tahoma"/>
          <w:szCs w:val="18"/>
        </w:rPr>
        <w:t>Grantobiorcy</w:t>
      </w:r>
      <w:proofErr w:type="spellEnd"/>
      <w:r w:rsidR="003276EB" w:rsidRPr="001C64EB">
        <w:rPr>
          <w:rFonts w:cs="Tahoma"/>
          <w:szCs w:val="18"/>
        </w:rPr>
        <w:t>.</w:t>
      </w:r>
    </w:p>
    <w:p w14:paraId="6D984095" w14:textId="1C236774" w:rsidR="008C54E3" w:rsidRPr="001C64EB" w:rsidRDefault="003276EB" w:rsidP="00707D93">
      <w:pPr>
        <w:pStyle w:val="Akapitzlist"/>
        <w:numPr>
          <w:ilvl w:val="1"/>
          <w:numId w:val="21"/>
        </w:numPr>
      </w:pPr>
      <w:r w:rsidRPr="001C64EB">
        <w:t xml:space="preserve">Wniosek wraz z załącznikami należy złożyć w zaklejonej kopercie. </w:t>
      </w:r>
      <w:r w:rsidR="008C54E3" w:rsidRPr="001C64EB">
        <w:t>Na kopercie należy umieścić:</w:t>
      </w:r>
    </w:p>
    <w:p w14:paraId="04F290D0" w14:textId="77777777" w:rsidR="008C54E3" w:rsidRPr="001C64EB" w:rsidRDefault="008C54E3" w:rsidP="00707D93">
      <w:pPr>
        <w:pStyle w:val="Akapitzlist"/>
        <w:numPr>
          <w:ilvl w:val="0"/>
          <w:numId w:val="24"/>
        </w:numPr>
      </w:pPr>
      <w:r w:rsidRPr="001C64EB">
        <w:t xml:space="preserve">nazwę, dane adresowe </w:t>
      </w:r>
      <w:proofErr w:type="spellStart"/>
      <w:r w:rsidRPr="001C64EB">
        <w:t>Grantobiorcy</w:t>
      </w:r>
      <w:proofErr w:type="spellEnd"/>
    </w:p>
    <w:p w14:paraId="68AA38A0" w14:textId="04758CD9" w:rsidR="008C54E3" w:rsidRPr="001C64EB" w:rsidRDefault="008C54E3" w:rsidP="00707D93">
      <w:pPr>
        <w:pStyle w:val="Akapitzlist"/>
        <w:numPr>
          <w:ilvl w:val="0"/>
          <w:numId w:val="24"/>
        </w:numPr>
      </w:pPr>
      <w:r w:rsidRPr="001C64EB">
        <w:t>nazwę projektu – „….”</w:t>
      </w:r>
    </w:p>
    <w:p w14:paraId="15D8CFBC" w14:textId="43DFA273" w:rsidR="008C54E3" w:rsidRPr="001C64EB" w:rsidRDefault="008C54E3" w:rsidP="00707D93">
      <w:pPr>
        <w:pStyle w:val="Akapitzlist"/>
        <w:numPr>
          <w:ilvl w:val="1"/>
          <w:numId w:val="21"/>
        </w:numPr>
      </w:pPr>
      <w:r w:rsidRPr="001C64EB">
        <w:t xml:space="preserve">Przez „złożenie wniosku” należy rozumieć wpływ jego papierowej wersji w zaklejonej kopercie do siedziby </w:t>
      </w:r>
      <w:proofErr w:type="spellStart"/>
      <w:r w:rsidRPr="001C64EB">
        <w:t>Grantodawcy</w:t>
      </w:r>
      <w:proofErr w:type="spellEnd"/>
      <w:r w:rsidRPr="001C64EB">
        <w:t xml:space="preserve">  – decyduje data wpływu podpisanego wniosku.</w:t>
      </w:r>
      <w:r w:rsidR="00C13D8F" w:rsidRPr="001C64EB">
        <w:t xml:space="preserve"> </w:t>
      </w:r>
      <w:r w:rsidRPr="001C64EB">
        <w:t xml:space="preserve">Za dzień skutecznego doręczenia wniosku uznaje </w:t>
      </w:r>
      <w:r w:rsidR="00C13D8F" w:rsidRPr="001C64EB">
        <w:t>się</w:t>
      </w:r>
      <w:r w:rsidRPr="001C64EB">
        <w:t xml:space="preserve">: </w:t>
      </w:r>
    </w:p>
    <w:p w14:paraId="39A610C0" w14:textId="650169A4" w:rsidR="008C54E3" w:rsidRPr="001C64EB" w:rsidRDefault="008C54E3" w:rsidP="00707D93">
      <w:pPr>
        <w:pStyle w:val="Akapitzlist"/>
        <w:numPr>
          <w:ilvl w:val="0"/>
          <w:numId w:val="25"/>
        </w:numPr>
      </w:pPr>
      <w:r w:rsidRPr="001C64EB">
        <w:t xml:space="preserve">w przypadku doręczenia osobistego – datę przyjęcia dokumentów zgłoszeniowych w siedzibie </w:t>
      </w:r>
      <w:proofErr w:type="spellStart"/>
      <w:r w:rsidRPr="001C64EB">
        <w:t>Grantodawcy</w:t>
      </w:r>
      <w:proofErr w:type="spellEnd"/>
      <w:r w:rsidR="00C13D8F" w:rsidRPr="001C64EB">
        <w:t>;</w:t>
      </w:r>
    </w:p>
    <w:p w14:paraId="32DD6B18" w14:textId="77777777" w:rsidR="008C54E3" w:rsidRPr="001C64EB" w:rsidRDefault="008C54E3" w:rsidP="00707D93">
      <w:pPr>
        <w:pStyle w:val="Akapitzlist"/>
        <w:numPr>
          <w:ilvl w:val="0"/>
          <w:numId w:val="25"/>
        </w:numPr>
      </w:pPr>
      <w:r w:rsidRPr="001C64EB">
        <w:t xml:space="preserve">w przypadku doręczenia za pośrednictwem operatora pocztowego lub firmy kurierskiej – datę doręczenia dokumentów zgłoszeniowych przez operatora/ firmę do siedziby </w:t>
      </w:r>
      <w:proofErr w:type="spellStart"/>
      <w:r w:rsidRPr="001C64EB">
        <w:t>Grantodawcy</w:t>
      </w:r>
      <w:proofErr w:type="spellEnd"/>
      <w:r w:rsidRPr="001C64EB">
        <w:t xml:space="preserve">. </w:t>
      </w:r>
    </w:p>
    <w:p w14:paraId="552D8E95" w14:textId="7AEA2154" w:rsidR="00A31F51" w:rsidRPr="001C64EB" w:rsidRDefault="008C54E3" w:rsidP="00707D93">
      <w:pPr>
        <w:pStyle w:val="Akapitzlist"/>
        <w:numPr>
          <w:ilvl w:val="1"/>
          <w:numId w:val="21"/>
        </w:numPr>
      </w:pPr>
      <w:r w:rsidRPr="001C64EB">
        <w:t xml:space="preserve">W przypadku złożenia wniosku o powierzenie grantu po upływie wyznaczonego terminu nie będzie on podlegać ocenie. </w:t>
      </w:r>
    </w:p>
    <w:p w14:paraId="2513A954" w14:textId="213FF3B0" w:rsidR="00A31F51" w:rsidRPr="001C64EB" w:rsidRDefault="008C54E3" w:rsidP="00707D93">
      <w:pPr>
        <w:pStyle w:val="Akapitzlist"/>
        <w:numPr>
          <w:ilvl w:val="1"/>
          <w:numId w:val="21"/>
        </w:numPr>
      </w:pPr>
      <w:r w:rsidRPr="001C64EB">
        <w:t>Dostarczone wnioski z</w:t>
      </w:r>
      <w:r w:rsidR="0085767A" w:rsidRPr="001C64EB">
        <w:t xml:space="preserve"> </w:t>
      </w:r>
      <w:r w:rsidRPr="001C64EB">
        <w:t xml:space="preserve">załącznikami przez </w:t>
      </w:r>
      <w:proofErr w:type="spellStart"/>
      <w:r w:rsidRPr="001C64EB">
        <w:t>Grantobiorcę</w:t>
      </w:r>
      <w:proofErr w:type="spellEnd"/>
      <w:r w:rsidRPr="001C64EB">
        <w:t xml:space="preserve"> nie podlegają zwrotowi i stanowić będą część dokumentacji z przebiegu procesu naboru.</w:t>
      </w:r>
    </w:p>
    <w:p w14:paraId="7DB0F713" w14:textId="232C89F9" w:rsidR="008F148A" w:rsidRPr="001C64EB" w:rsidRDefault="00A31F51" w:rsidP="00707D93">
      <w:pPr>
        <w:pStyle w:val="Akapitzlist"/>
        <w:numPr>
          <w:ilvl w:val="1"/>
          <w:numId w:val="21"/>
        </w:numPr>
      </w:pPr>
      <w:proofErr w:type="spellStart"/>
      <w:r w:rsidRPr="001C64EB">
        <w:t>Grantodawca</w:t>
      </w:r>
      <w:proofErr w:type="spellEnd"/>
      <w:r w:rsidRPr="001C64EB">
        <w:t xml:space="preserve"> prowadzi rejestr </w:t>
      </w:r>
      <w:r w:rsidR="00982926" w:rsidRPr="001C64EB">
        <w:t xml:space="preserve">złożonych </w:t>
      </w:r>
      <w:r w:rsidRPr="001C64EB">
        <w:t>Wniosków o Grant</w:t>
      </w:r>
      <w:r w:rsidR="00982926" w:rsidRPr="001C64EB">
        <w:t xml:space="preserve">. </w:t>
      </w:r>
      <w:proofErr w:type="spellStart"/>
      <w:r w:rsidRPr="001C64EB">
        <w:t>Grantodawca</w:t>
      </w:r>
      <w:proofErr w:type="spellEnd"/>
      <w:r w:rsidRPr="001C64EB">
        <w:t xml:space="preserve"> zapewni, że wszystkie </w:t>
      </w:r>
      <w:r w:rsidR="00982926" w:rsidRPr="001C64EB">
        <w:t>złożone w</w:t>
      </w:r>
      <w:r w:rsidRPr="001C64EB">
        <w:t>nioski o Grant</w:t>
      </w:r>
      <w:r w:rsidR="00982926" w:rsidRPr="001C64EB">
        <w:t xml:space="preserve"> </w:t>
      </w:r>
      <w:r w:rsidRPr="001C64EB">
        <w:t xml:space="preserve">zostaną przekazane do oceny </w:t>
      </w:r>
      <w:r w:rsidR="00982926" w:rsidRPr="001C64EB">
        <w:t>formalnej.</w:t>
      </w:r>
    </w:p>
    <w:p w14:paraId="126DA671" w14:textId="0A395EA1" w:rsidR="008F148A" w:rsidRPr="001C64EB" w:rsidRDefault="008F148A" w:rsidP="00707D93">
      <w:pPr>
        <w:pStyle w:val="Akapitzlist"/>
        <w:numPr>
          <w:ilvl w:val="1"/>
          <w:numId w:val="21"/>
        </w:numPr>
      </w:pPr>
      <w:proofErr w:type="spellStart"/>
      <w:r w:rsidRPr="001C64EB">
        <w:t>Grantobiorca</w:t>
      </w:r>
      <w:proofErr w:type="spellEnd"/>
      <w:r w:rsidRPr="001C64EB">
        <w:t xml:space="preserve"> może wycofać  się z procesu oceny złożonego wniosku o udzielenie Grantu bez podania przyczyny poprzez złożenie oświadczenia. Wówczas wniosek nie będzie podlegał dalszej ocenie. </w:t>
      </w:r>
    </w:p>
    <w:p w14:paraId="1161DF69" w14:textId="77777777" w:rsidR="00C854B0" w:rsidRPr="001C64EB" w:rsidRDefault="00990BBD" w:rsidP="00707D93">
      <w:pPr>
        <w:pStyle w:val="Akapitzlist"/>
        <w:numPr>
          <w:ilvl w:val="0"/>
          <w:numId w:val="21"/>
        </w:numPr>
        <w:rPr>
          <w:rFonts w:cs="Tahoma"/>
          <w:b/>
          <w:szCs w:val="18"/>
        </w:rPr>
      </w:pPr>
      <w:bookmarkStart w:id="12" w:name="_Hlk5956249"/>
      <w:r w:rsidRPr="001C64EB">
        <w:rPr>
          <w:rFonts w:cs="Tahoma"/>
          <w:b/>
          <w:szCs w:val="18"/>
        </w:rPr>
        <w:t>Kryteria wyboru projektów wraz z podaniem ich znaczenia</w:t>
      </w:r>
      <w:bookmarkEnd w:id="12"/>
    </w:p>
    <w:p w14:paraId="78E56BD8" w14:textId="77777777" w:rsidR="00C854B0" w:rsidRPr="001C64EB" w:rsidRDefault="002E5130" w:rsidP="00707D93">
      <w:pPr>
        <w:pStyle w:val="Akapitzlist"/>
        <w:numPr>
          <w:ilvl w:val="1"/>
          <w:numId w:val="21"/>
        </w:numPr>
        <w:rPr>
          <w:rFonts w:cs="Tahoma"/>
          <w:b/>
          <w:szCs w:val="18"/>
        </w:rPr>
      </w:pPr>
      <w:r w:rsidRPr="001C64EB">
        <w:rPr>
          <w:rFonts w:cs="Tahoma"/>
          <w:szCs w:val="18"/>
        </w:rPr>
        <w:t xml:space="preserve">Ocena Wniosków o Grant składa się z </w:t>
      </w:r>
      <w:r w:rsidR="00990BBD" w:rsidRPr="001C64EB">
        <w:rPr>
          <w:rFonts w:cs="Tahoma"/>
          <w:szCs w:val="18"/>
        </w:rPr>
        <w:t>o</w:t>
      </w:r>
      <w:r w:rsidRPr="001C64EB">
        <w:rPr>
          <w:rFonts w:cs="Tahoma"/>
          <w:szCs w:val="18"/>
        </w:rPr>
        <w:t>ceny formalnej</w:t>
      </w:r>
      <w:r w:rsidR="00990BBD" w:rsidRPr="001C64EB">
        <w:rPr>
          <w:rFonts w:cs="Tahoma"/>
          <w:szCs w:val="18"/>
        </w:rPr>
        <w:t xml:space="preserve"> oraz oceny merytorycznej</w:t>
      </w:r>
      <w:r w:rsidR="00704919" w:rsidRPr="001C64EB">
        <w:rPr>
          <w:rFonts w:cs="Tahoma"/>
          <w:szCs w:val="18"/>
        </w:rPr>
        <w:t>.</w:t>
      </w:r>
    </w:p>
    <w:p w14:paraId="3606A5DA" w14:textId="180E7A9D" w:rsidR="00C854B0" w:rsidRPr="001C64EB" w:rsidRDefault="00990BBD" w:rsidP="00707D93">
      <w:pPr>
        <w:pStyle w:val="Akapitzlist"/>
        <w:numPr>
          <w:ilvl w:val="1"/>
          <w:numId w:val="21"/>
        </w:numPr>
        <w:rPr>
          <w:rFonts w:cs="Tahoma"/>
          <w:b/>
          <w:szCs w:val="18"/>
        </w:rPr>
      </w:pPr>
      <w:proofErr w:type="spellStart"/>
      <w:r w:rsidRPr="001C64EB">
        <w:rPr>
          <w:rFonts w:cs="Tahoma"/>
          <w:szCs w:val="18"/>
        </w:rPr>
        <w:t>Grantodawca</w:t>
      </w:r>
      <w:proofErr w:type="spellEnd"/>
      <w:r w:rsidRPr="001C64EB">
        <w:rPr>
          <w:rFonts w:cs="Tahoma"/>
          <w:szCs w:val="18"/>
        </w:rPr>
        <w:t xml:space="preserve"> opracował zestaw Kryteriów wyboru projektów stanowiących Załącznik nr </w:t>
      </w:r>
      <w:r w:rsidR="00A730D5" w:rsidRPr="001C64EB">
        <w:rPr>
          <w:rFonts w:cs="Tahoma"/>
          <w:szCs w:val="18"/>
        </w:rPr>
        <w:t>4</w:t>
      </w:r>
      <w:r w:rsidR="00704919" w:rsidRPr="001C64EB">
        <w:rPr>
          <w:rFonts w:cs="Tahoma"/>
          <w:szCs w:val="18"/>
        </w:rPr>
        <w:t xml:space="preserve"> do procedury</w:t>
      </w:r>
      <w:r w:rsidRPr="001C64EB">
        <w:rPr>
          <w:rFonts w:cs="Tahoma"/>
          <w:szCs w:val="18"/>
        </w:rPr>
        <w:t xml:space="preserve">. Każdy Wniosek o Grant złożony przez </w:t>
      </w:r>
      <w:proofErr w:type="spellStart"/>
      <w:r w:rsidRPr="001C64EB">
        <w:rPr>
          <w:rFonts w:cs="Tahoma"/>
          <w:szCs w:val="18"/>
        </w:rPr>
        <w:t>Grantobiorcę</w:t>
      </w:r>
      <w:proofErr w:type="spellEnd"/>
      <w:r w:rsidRPr="001C64EB">
        <w:rPr>
          <w:rFonts w:cs="Tahoma"/>
          <w:szCs w:val="18"/>
        </w:rPr>
        <w:t xml:space="preserve"> zostanie oceniony na podstawie Kryteriów wyboru projektów. Ocena spełnienia Kryteriów odbywa się w szczególności na podstawie zapisów Wniosku o Grant wraz z załącznikami oraz oświadczeń </w:t>
      </w:r>
      <w:proofErr w:type="spellStart"/>
      <w:r w:rsidRPr="001C64EB">
        <w:rPr>
          <w:rFonts w:cs="Tahoma"/>
          <w:szCs w:val="18"/>
        </w:rPr>
        <w:t>Grantobiorcy</w:t>
      </w:r>
      <w:proofErr w:type="spellEnd"/>
      <w:r w:rsidRPr="001C64EB">
        <w:rPr>
          <w:rFonts w:cs="Tahoma"/>
          <w:szCs w:val="18"/>
        </w:rPr>
        <w:t>.</w:t>
      </w:r>
    </w:p>
    <w:p w14:paraId="533AB2A2" w14:textId="131AE3EF" w:rsidR="00990BBD" w:rsidRPr="001C64EB" w:rsidRDefault="00990BBD" w:rsidP="00707D93">
      <w:pPr>
        <w:pStyle w:val="Akapitzlist"/>
        <w:numPr>
          <w:ilvl w:val="1"/>
          <w:numId w:val="21"/>
        </w:numPr>
        <w:rPr>
          <w:rFonts w:cs="Tahoma"/>
          <w:b/>
          <w:szCs w:val="18"/>
        </w:rPr>
      </w:pPr>
      <w:r w:rsidRPr="001C64EB">
        <w:rPr>
          <w:rFonts w:cs="Tahoma"/>
          <w:szCs w:val="18"/>
        </w:rPr>
        <w:t xml:space="preserve">Kryteria wyboru </w:t>
      </w:r>
      <w:proofErr w:type="spellStart"/>
      <w:r w:rsidRPr="001C64EB">
        <w:rPr>
          <w:rFonts w:cs="Tahoma"/>
          <w:szCs w:val="18"/>
        </w:rPr>
        <w:t>Grantobiorców</w:t>
      </w:r>
      <w:proofErr w:type="spellEnd"/>
      <w:r w:rsidRPr="001C64EB">
        <w:rPr>
          <w:rFonts w:cs="Tahoma"/>
          <w:szCs w:val="18"/>
        </w:rPr>
        <w:t xml:space="preserve"> zostały podzielone na </w:t>
      </w:r>
      <w:r w:rsidR="000E42D9">
        <w:rPr>
          <w:rFonts w:cs="Tahoma"/>
          <w:szCs w:val="18"/>
        </w:rPr>
        <w:t>3</w:t>
      </w:r>
      <w:r w:rsidR="000E42D9" w:rsidRPr="001C64EB">
        <w:rPr>
          <w:rFonts w:cs="Tahoma"/>
          <w:szCs w:val="18"/>
        </w:rPr>
        <w:t xml:space="preserve"> </w:t>
      </w:r>
      <w:r w:rsidRPr="001C64EB">
        <w:rPr>
          <w:rFonts w:cs="Tahoma"/>
          <w:szCs w:val="18"/>
        </w:rPr>
        <w:t>sekcje:</w:t>
      </w:r>
    </w:p>
    <w:p w14:paraId="75EC8517" w14:textId="78459AF7" w:rsidR="00990BBD" w:rsidRPr="001C64EB" w:rsidRDefault="00990BBD" w:rsidP="00361E72">
      <w:pPr>
        <w:pStyle w:val="Akapitzlist"/>
        <w:numPr>
          <w:ilvl w:val="0"/>
          <w:numId w:val="26"/>
        </w:numPr>
        <w:rPr>
          <w:rFonts w:cs="Tahoma"/>
          <w:szCs w:val="18"/>
        </w:rPr>
      </w:pPr>
      <w:bookmarkStart w:id="13" w:name="_Hlk5956405"/>
      <w:bookmarkStart w:id="14" w:name="_Hlk5277232"/>
      <w:r w:rsidRPr="001C64EB">
        <w:rPr>
          <w:rFonts w:cs="Tahoma"/>
          <w:szCs w:val="18"/>
        </w:rPr>
        <w:t>Kryteria formalne</w:t>
      </w:r>
      <w:bookmarkEnd w:id="13"/>
      <w:r w:rsidR="00361E72" w:rsidRPr="001C64EB">
        <w:rPr>
          <w:rFonts w:cs="Tahoma"/>
          <w:szCs w:val="18"/>
        </w:rPr>
        <w:t xml:space="preserve"> </w:t>
      </w:r>
      <w:r w:rsidRPr="001C64EB">
        <w:rPr>
          <w:rFonts w:cs="Tahoma"/>
          <w:szCs w:val="18"/>
        </w:rPr>
        <w:t xml:space="preserve">spełnienie kryteriów jest niezbędne do otrzymania grantu, możliwa jest jednokrotna korekta Wniosku o grant w tym zakresie. W przypadku niespełnienia któregokolwiek z kryteriów formalnych, po uprzednim wezwaniu </w:t>
      </w:r>
      <w:proofErr w:type="spellStart"/>
      <w:r w:rsidRPr="001C64EB">
        <w:rPr>
          <w:rFonts w:cs="Tahoma"/>
          <w:szCs w:val="18"/>
        </w:rPr>
        <w:t>Grantobiorcy</w:t>
      </w:r>
      <w:proofErr w:type="spellEnd"/>
      <w:r w:rsidRPr="001C64EB">
        <w:rPr>
          <w:rFonts w:cs="Tahoma"/>
          <w:szCs w:val="18"/>
        </w:rPr>
        <w:t xml:space="preserve"> do poprawy/ uzupełniania, Wniosek jest negatywnie oceniany.</w:t>
      </w:r>
    </w:p>
    <w:p w14:paraId="0DBACC41" w14:textId="77777777" w:rsidR="00990BBD" w:rsidRPr="001C64EB" w:rsidRDefault="00990BBD" w:rsidP="00707D93">
      <w:pPr>
        <w:pStyle w:val="Akapitzlist"/>
        <w:numPr>
          <w:ilvl w:val="0"/>
          <w:numId w:val="26"/>
        </w:numPr>
        <w:rPr>
          <w:rFonts w:cs="Tahoma"/>
          <w:b/>
          <w:szCs w:val="18"/>
        </w:rPr>
      </w:pPr>
      <w:r w:rsidRPr="001C64EB">
        <w:rPr>
          <w:rFonts w:cs="Tahoma"/>
          <w:szCs w:val="18"/>
        </w:rPr>
        <w:lastRenderedPageBreak/>
        <w:t xml:space="preserve">Kryteria merytoryczne punktowe – spełnienie kryteriów nie jest niezbędne do otrzymania grantu, punktacja uzyskana podczas oceny pozwoli przygotować listę rankingową Wniosków o Grant, na podstawie której zostanie dokonany wybór </w:t>
      </w:r>
      <w:proofErr w:type="spellStart"/>
      <w:r w:rsidRPr="001C64EB">
        <w:rPr>
          <w:rFonts w:cs="Tahoma"/>
          <w:szCs w:val="18"/>
        </w:rPr>
        <w:t>Grantobiorców</w:t>
      </w:r>
      <w:proofErr w:type="spellEnd"/>
      <w:r w:rsidRPr="001C64EB">
        <w:rPr>
          <w:rFonts w:cs="Tahoma"/>
          <w:szCs w:val="18"/>
        </w:rPr>
        <w:t>, którzy otrzymali odpowiednią ilość punktów. Wnioski o Grant, które otrzymały punktacje poniżej wymaganego progu, utworzą listę rezerwową.</w:t>
      </w:r>
    </w:p>
    <w:p w14:paraId="523A87B2" w14:textId="77777777" w:rsidR="00990BBD" w:rsidRPr="001C64EB" w:rsidRDefault="00990BBD" w:rsidP="00707D93">
      <w:pPr>
        <w:pStyle w:val="Akapitzlist"/>
        <w:numPr>
          <w:ilvl w:val="0"/>
          <w:numId w:val="26"/>
        </w:numPr>
        <w:rPr>
          <w:rFonts w:cs="Tahoma"/>
          <w:b/>
          <w:szCs w:val="18"/>
        </w:rPr>
      </w:pPr>
      <w:r w:rsidRPr="001C64EB">
        <w:rPr>
          <w:rFonts w:cs="Tahoma"/>
          <w:szCs w:val="18"/>
        </w:rPr>
        <w:t>Kryterium merytoryczne rozstrzygające – kryterium to będzie decydowało o ostatecznej kolejności projektów na liście rankingowej, w sytuacji, gdy więcej niż jeden projekt ma taką samą liczbę punktów.</w:t>
      </w:r>
    </w:p>
    <w:bookmarkEnd w:id="14"/>
    <w:p w14:paraId="2A748657" w14:textId="758B3EC3" w:rsidR="00990BBD" w:rsidRPr="001C64EB" w:rsidRDefault="00990BBD" w:rsidP="00707D93">
      <w:pPr>
        <w:pStyle w:val="Akapitzlist"/>
        <w:numPr>
          <w:ilvl w:val="1"/>
          <w:numId w:val="21"/>
        </w:numPr>
        <w:rPr>
          <w:rFonts w:cs="Tahoma"/>
          <w:szCs w:val="18"/>
        </w:rPr>
      </w:pPr>
      <w:r w:rsidRPr="001C64EB">
        <w:rPr>
          <w:rFonts w:cs="Tahoma"/>
          <w:szCs w:val="18"/>
        </w:rPr>
        <w:t xml:space="preserve">Kryteria wyboru projektów stanowią załącznik nr </w:t>
      </w:r>
      <w:r w:rsidR="00A730D5" w:rsidRPr="001C64EB">
        <w:rPr>
          <w:rFonts w:cs="Tahoma"/>
          <w:szCs w:val="18"/>
        </w:rPr>
        <w:t>4</w:t>
      </w:r>
      <w:r w:rsidRPr="001C64EB">
        <w:rPr>
          <w:rFonts w:cs="Tahoma"/>
          <w:szCs w:val="18"/>
        </w:rPr>
        <w:t xml:space="preserve"> do niniejszej Procedury.</w:t>
      </w:r>
    </w:p>
    <w:p w14:paraId="750D1445" w14:textId="2058B82C" w:rsidR="0085767A" w:rsidRPr="001C64EB" w:rsidRDefault="0085767A" w:rsidP="00707D93">
      <w:pPr>
        <w:pStyle w:val="Akapitzlist"/>
        <w:numPr>
          <w:ilvl w:val="0"/>
          <w:numId w:val="21"/>
        </w:numPr>
        <w:rPr>
          <w:rFonts w:cs="Tahoma"/>
          <w:b/>
          <w:szCs w:val="18"/>
        </w:rPr>
      </w:pPr>
      <w:r w:rsidRPr="001C64EB">
        <w:rPr>
          <w:rFonts w:cs="Tahoma"/>
          <w:b/>
          <w:szCs w:val="18"/>
        </w:rPr>
        <w:t>Ocena formalna</w:t>
      </w:r>
    </w:p>
    <w:p w14:paraId="588E365D" w14:textId="09A6FDA0" w:rsidR="00C854B0" w:rsidRPr="001C64EB" w:rsidRDefault="0085767A" w:rsidP="00707D93">
      <w:pPr>
        <w:pStyle w:val="Akapitzlist"/>
        <w:numPr>
          <w:ilvl w:val="1"/>
          <w:numId w:val="21"/>
        </w:numPr>
        <w:rPr>
          <w:rFonts w:cs="Tahoma"/>
          <w:b/>
          <w:szCs w:val="18"/>
        </w:rPr>
      </w:pPr>
      <w:proofErr w:type="spellStart"/>
      <w:r w:rsidRPr="001C64EB">
        <w:rPr>
          <w:rFonts w:cs="Tahoma"/>
          <w:szCs w:val="18"/>
        </w:rPr>
        <w:t>Grantodawca</w:t>
      </w:r>
      <w:proofErr w:type="spellEnd"/>
      <w:r w:rsidRPr="001C64EB">
        <w:rPr>
          <w:rFonts w:cs="Tahoma"/>
          <w:szCs w:val="18"/>
        </w:rPr>
        <w:t xml:space="preserve"> dokonuje oceny formalnej</w:t>
      </w:r>
      <w:r w:rsidR="00916376" w:rsidRPr="001C64EB">
        <w:rPr>
          <w:rFonts w:cs="Tahoma"/>
          <w:szCs w:val="18"/>
        </w:rPr>
        <w:t xml:space="preserve">, w tym </w:t>
      </w:r>
      <w:r w:rsidR="00916376" w:rsidRPr="001C64EB">
        <w:rPr>
          <w:rFonts w:eastAsia="Times New Roman" w:cs="Tahoma"/>
          <w:iCs/>
          <w:szCs w:val="18"/>
          <w:lang w:eastAsia="pl-PL"/>
        </w:rPr>
        <w:t>weryfikację oczywistych omyłek i warunków formalnych (np. kompletność wniosku, złożenie w terminie, czy wniosek został podpisany itp.)</w:t>
      </w:r>
      <w:r w:rsidRPr="001C64EB">
        <w:rPr>
          <w:rFonts w:cs="Tahoma"/>
          <w:szCs w:val="18"/>
        </w:rPr>
        <w:t xml:space="preserve"> Wniosków o Grant zgodnie z Kryteriami oceny </w:t>
      </w:r>
      <w:proofErr w:type="spellStart"/>
      <w:r w:rsidRPr="001C64EB">
        <w:rPr>
          <w:rFonts w:cs="Tahoma"/>
          <w:szCs w:val="18"/>
        </w:rPr>
        <w:t>Grantobiorców</w:t>
      </w:r>
      <w:proofErr w:type="spellEnd"/>
      <w:r w:rsidRPr="001C64EB">
        <w:rPr>
          <w:rFonts w:cs="Tahoma"/>
          <w:szCs w:val="18"/>
        </w:rPr>
        <w:t xml:space="preserve">, stanowiącymi </w:t>
      </w:r>
      <w:r w:rsidR="00D13484" w:rsidRPr="001C64EB">
        <w:rPr>
          <w:rFonts w:cs="Tahoma"/>
          <w:szCs w:val="18"/>
        </w:rPr>
        <w:t>Z</w:t>
      </w:r>
      <w:r w:rsidRPr="001C64EB">
        <w:rPr>
          <w:rFonts w:cs="Tahoma"/>
          <w:szCs w:val="18"/>
        </w:rPr>
        <w:t xml:space="preserve">ałącznik </w:t>
      </w:r>
      <w:r w:rsidR="00D13484" w:rsidRPr="001C64EB">
        <w:rPr>
          <w:rFonts w:cs="Tahoma"/>
          <w:szCs w:val="18"/>
        </w:rPr>
        <w:t xml:space="preserve">nr </w:t>
      </w:r>
      <w:r w:rsidR="00505F68" w:rsidRPr="001C64EB">
        <w:rPr>
          <w:rFonts w:cs="Tahoma"/>
          <w:szCs w:val="18"/>
        </w:rPr>
        <w:t>4</w:t>
      </w:r>
      <w:r w:rsidR="00D13484" w:rsidRPr="001C64EB">
        <w:rPr>
          <w:rFonts w:cs="Tahoma"/>
          <w:szCs w:val="18"/>
        </w:rPr>
        <w:t xml:space="preserve"> </w:t>
      </w:r>
      <w:r w:rsidRPr="001C64EB">
        <w:rPr>
          <w:rFonts w:cs="Tahoma"/>
          <w:szCs w:val="18"/>
        </w:rPr>
        <w:t>do niniejszej procedury</w:t>
      </w:r>
      <w:r w:rsidR="00DB1EDD" w:rsidRPr="001C64EB">
        <w:rPr>
          <w:rFonts w:cs="Tahoma"/>
          <w:szCs w:val="18"/>
        </w:rPr>
        <w:t xml:space="preserve"> poprzez wypełnienie Karty oceny formalnej Wniosku o Grant</w:t>
      </w:r>
      <w:r w:rsidR="00F65174" w:rsidRPr="001C64EB">
        <w:rPr>
          <w:rFonts w:cs="Tahoma"/>
          <w:szCs w:val="18"/>
        </w:rPr>
        <w:t>.</w:t>
      </w:r>
    </w:p>
    <w:p w14:paraId="76804D13" w14:textId="77777777" w:rsidR="00C854B0" w:rsidRPr="001C64EB" w:rsidRDefault="00412E8B" w:rsidP="00707D93">
      <w:pPr>
        <w:pStyle w:val="Akapitzlist"/>
        <w:numPr>
          <w:ilvl w:val="1"/>
          <w:numId w:val="21"/>
        </w:numPr>
        <w:rPr>
          <w:rFonts w:cs="Tahoma"/>
          <w:b/>
          <w:szCs w:val="18"/>
        </w:rPr>
      </w:pPr>
      <w:proofErr w:type="spellStart"/>
      <w:r w:rsidRPr="001C64EB">
        <w:rPr>
          <w:rFonts w:cs="Tahoma"/>
          <w:szCs w:val="18"/>
        </w:rPr>
        <w:t>Grantodawca</w:t>
      </w:r>
      <w:proofErr w:type="spellEnd"/>
      <w:r w:rsidRPr="001C64EB">
        <w:rPr>
          <w:rFonts w:cs="Tahoma"/>
          <w:szCs w:val="18"/>
        </w:rPr>
        <w:t xml:space="preserve"> dokonuje oceny przedłożonych wniosków o powierzenie grantu wraz z załącznikami. </w:t>
      </w:r>
    </w:p>
    <w:p w14:paraId="01B92DDC" w14:textId="77777777" w:rsidR="00C854B0" w:rsidRPr="001C64EB" w:rsidRDefault="00412E8B" w:rsidP="00707D93">
      <w:pPr>
        <w:pStyle w:val="Akapitzlist"/>
        <w:numPr>
          <w:ilvl w:val="1"/>
          <w:numId w:val="21"/>
        </w:numPr>
        <w:rPr>
          <w:rFonts w:cs="Tahoma"/>
          <w:b/>
          <w:szCs w:val="18"/>
        </w:rPr>
      </w:pPr>
      <w:r w:rsidRPr="001C64EB">
        <w:rPr>
          <w:rFonts w:cs="Tahoma"/>
          <w:szCs w:val="18"/>
        </w:rPr>
        <w:t xml:space="preserve">W trakcie oceny </w:t>
      </w:r>
      <w:proofErr w:type="spellStart"/>
      <w:r w:rsidRPr="001C64EB">
        <w:rPr>
          <w:rFonts w:cs="Tahoma"/>
          <w:szCs w:val="18"/>
        </w:rPr>
        <w:t>Grantodawca</w:t>
      </w:r>
      <w:proofErr w:type="spellEnd"/>
      <w:r w:rsidRPr="001C64EB">
        <w:rPr>
          <w:rFonts w:cs="Tahoma"/>
          <w:szCs w:val="18"/>
        </w:rPr>
        <w:t xml:space="preserve"> może wezwać listownie lub mailowo </w:t>
      </w:r>
      <w:proofErr w:type="spellStart"/>
      <w:r w:rsidRPr="001C64EB">
        <w:rPr>
          <w:rFonts w:cs="Tahoma"/>
          <w:szCs w:val="18"/>
        </w:rPr>
        <w:t>Grantobiorcę</w:t>
      </w:r>
      <w:proofErr w:type="spellEnd"/>
      <w:r w:rsidRPr="001C64EB">
        <w:rPr>
          <w:rFonts w:cs="Tahoma"/>
          <w:szCs w:val="18"/>
        </w:rPr>
        <w:t xml:space="preserve"> do złożenia wyjaśnień (informacji lub dokumentów) w sprawie projektu, które są niezbędne do przeprowadzenia oceny wyboru wniosku. </w:t>
      </w:r>
      <w:proofErr w:type="spellStart"/>
      <w:r w:rsidR="0085767A" w:rsidRPr="001C64EB">
        <w:rPr>
          <w:rFonts w:cs="Tahoma"/>
          <w:szCs w:val="18"/>
        </w:rPr>
        <w:t>Grantobiorca</w:t>
      </w:r>
      <w:proofErr w:type="spellEnd"/>
      <w:r w:rsidR="0085767A" w:rsidRPr="001C64EB">
        <w:rPr>
          <w:rFonts w:cs="Tahoma"/>
          <w:szCs w:val="18"/>
        </w:rPr>
        <w:t xml:space="preserve"> ma możliwość jednokrotnej poprawy/uzupełnienia Wniosku o Grant w terminie nie dłuższym niż 14 dni kalendarzowych. </w:t>
      </w:r>
    </w:p>
    <w:p w14:paraId="13312A53" w14:textId="395F07B6" w:rsidR="001A7926" w:rsidRPr="001C64EB" w:rsidRDefault="0085767A" w:rsidP="00707D93">
      <w:pPr>
        <w:pStyle w:val="Akapitzlist"/>
        <w:numPr>
          <w:ilvl w:val="1"/>
          <w:numId w:val="21"/>
        </w:numPr>
        <w:rPr>
          <w:rFonts w:cs="Tahoma"/>
          <w:b/>
          <w:szCs w:val="18"/>
        </w:rPr>
      </w:pPr>
      <w:r w:rsidRPr="001C64EB">
        <w:rPr>
          <w:rFonts w:cs="Tahoma"/>
          <w:szCs w:val="18"/>
        </w:rPr>
        <w:t>W przypadku niespełnienia któregokolwiek z kryteriów formalnych</w:t>
      </w:r>
      <w:r w:rsidR="0006441A" w:rsidRPr="001C64EB">
        <w:rPr>
          <w:rFonts w:cs="Tahoma"/>
          <w:szCs w:val="18"/>
        </w:rPr>
        <w:t xml:space="preserve">, </w:t>
      </w:r>
      <w:r w:rsidRPr="001C64EB">
        <w:rPr>
          <w:rFonts w:cs="Tahoma"/>
          <w:szCs w:val="18"/>
        </w:rPr>
        <w:t xml:space="preserve">po dokonaniu jego poprawy przez </w:t>
      </w:r>
      <w:proofErr w:type="spellStart"/>
      <w:r w:rsidRPr="001C64EB">
        <w:rPr>
          <w:rFonts w:cs="Tahoma"/>
          <w:szCs w:val="18"/>
        </w:rPr>
        <w:t>Grantobiorcę</w:t>
      </w:r>
      <w:proofErr w:type="spellEnd"/>
      <w:r w:rsidR="0006441A" w:rsidRPr="001C64EB">
        <w:rPr>
          <w:rFonts w:cs="Tahoma"/>
          <w:szCs w:val="18"/>
        </w:rPr>
        <w:t xml:space="preserve"> –</w:t>
      </w:r>
      <w:r w:rsidRPr="001C64EB">
        <w:rPr>
          <w:rFonts w:cs="Tahoma"/>
          <w:szCs w:val="18"/>
        </w:rPr>
        <w:t xml:space="preserve"> </w:t>
      </w:r>
      <w:proofErr w:type="spellStart"/>
      <w:r w:rsidRPr="001C64EB">
        <w:rPr>
          <w:rFonts w:cs="Tahoma"/>
          <w:szCs w:val="18"/>
        </w:rPr>
        <w:t>Grantobiorca</w:t>
      </w:r>
      <w:proofErr w:type="spellEnd"/>
      <w:r w:rsidRPr="001C64EB">
        <w:rPr>
          <w:rFonts w:cs="Tahoma"/>
          <w:szCs w:val="18"/>
        </w:rPr>
        <w:t xml:space="preserve"> nie ma możliwości poprawy wniosku, a Wniosek o Grant zostaje negatywnie oceniony.</w:t>
      </w:r>
      <w:r w:rsidR="00062C90" w:rsidRPr="001C64EB">
        <w:rPr>
          <w:rFonts w:cs="Tahoma"/>
          <w:b/>
          <w:szCs w:val="18"/>
        </w:rPr>
        <w:t xml:space="preserve"> </w:t>
      </w:r>
      <w:r w:rsidR="001A7926" w:rsidRPr="001C64EB">
        <w:rPr>
          <w:rFonts w:cs="Tahoma"/>
          <w:szCs w:val="18"/>
        </w:rPr>
        <w:t>Pozostawienie wniosku bez rozpatrzenia i niedopuszczenie do dalszej oceny nastąpi również w przypadku wprowadzenia do wniosku innych zmian, niż te wynikające z pisma wzywającego do uzupełnień braków formalnych.</w:t>
      </w:r>
      <w:r w:rsidR="00062C90" w:rsidRPr="001C64EB">
        <w:rPr>
          <w:rFonts w:cs="Tahoma"/>
          <w:szCs w:val="18"/>
        </w:rPr>
        <w:t xml:space="preserve"> </w:t>
      </w:r>
      <w:r w:rsidR="001A7926" w:rsidRPr="001C64EB">
        <w:rPr>
          <w:rFonts w:cs="Tahoma"/>
          <w:szCs w:val="18"/>
        </w:rPr>
        <w:t>Przez „istotną modyfikację" należy w szczególności rozumieć modyfikację dotyczącą elementów treściowych wniosku, której skutkiem jest zmiana:</w:t>
      </w:r>
    </w:p>
    <w:p w14:paraId="60317B6E" w14:textId="77777777" w:rsidR="001A7926" w:rsidRPr="001C64EB" w:rsidRDefault="001A7926" w:rsidP="00707D93">
      <w:pPr>
        <w:pStyle w:val="Akapitzlist"/>
        <w:numPr>
          <w:ilvl w:val="0"/>
          <w:numId w:val="2"/>
        </w:numPr>
        <w:rPr>
          <w:rFonts w:cs="Tahoma"/>
          <w:b/>
          <w:szCs w:val="18"/>
        </w:rPr>
      </w:pPr>
      <w:r w:rsidRPr="001C64EB">
        <w:rPr>
          <w:rFonts w:cs="Tahoma"/>
          <w:szCs w:val="18"/>
        </w:rPr>
        <w:t xml:space="preserve">podmiotowa (np. zmiana </w:t>
      </w:r>
      <w:proofErr w:type="spellStart"/>
      <w:r w:rsidRPr="001C64EB">
        <w:rPr>
          <w:rFonts w:cs="Tahoma"/>
          <w:szCs w:val="18"/>
        </w:rPr>
        <w:t>Grantobiorcy</w:t>
      </w:r>
      <w:proofErr w:type="spellEnd"/>
      <w:r w:rsidRPr="001C64EB">
        <w:rPr>
          <w:rFonts w:cs="Tahoma"/>
          <w:szCs w:val="18"/>
        </w:rPr>
        <w:t>) dopuszcza się wyłącznie zmiany wynikające wprost z przepisów prawa;</w:t>
      </w:r>
    </w:p>
    <w:p w14:paraId="65591D86" w14:textId="77777777" w:rsidR="001A7926" w:rsidRPr="001C64EB" w:rsidRDefault="001A7926" w:rsidP="00707D93">
      <w:pPr>
        <w:pStyle w:val="Akapitzlist"/>
        <w:numPr>
          <w:ilvl w:val="0"/>
          <w:numId w:val="2"/>
        </w:numPr>
        <w:rPr>
          <w:rFonts w:cs="Tahoma"/>
          <w:b/>
          <w:szCs w:val="18"/>
        </w:rPr>
      </w:pPr>
      <w:r w:rsidRPr="001C64EB">
        <w:rPr>
          <w:rFonts w:cs="Tahoma"/>
          <w:szCs w:val="18"/>
        </w:rPr>
        <w:t>przedmiotowa (np. zakres rzeczowy, skrócony opis projektu, kategorie kosztów, zmiany wartości projektu niewynikających z oczywistych omyłek i błędów rachunkowych);</w:t>
      </w:r>
    </w:p>
    <w:p w14:paraId="26CE9378" w14:textId="77777777" w:rsidR="001A7926" w:rsidRPr="001C64EB" w:rsidRDefault="001A7926" w:rsidP="00707D93">
      <w:pPr>
        <w:pStyle w:val="Akapitzlist"/>
        <w:numPr>
          <w:ilvl w:val="0"/>
          <w:numId w:val="2"/>
        </w:numPr>
        <w:rPr>
          <w:rFonts w:cs="Tahoma"/>
          <w:b/>
          <w:szCs w:val="18"/>
        </w:rPr>
      </w:pPr>
      <w:r w:rsidRPr="001C64EB">
        <w:rPr>
          <w:rFonts w:cs="Tahoma"/>
          <w:szCs w:val="18"/>
        </w:rPr>
        <w:t>celów projektu;</w:t>
      </w:r>
    </w:p>
    <w:p w14:paraId="5DFC2AC0" w14:textId="77777777" w:rsidR="001A7926" w:rsidRPr="001C64EB" w:rsidRDefault="001A7926" w:rsidP="00707D93">
      <w:pPr>
        <w:pStyle w:val="Akapitzlist"/>
        <w:numPr>
          <w:ilvl w:val="0"/>
          <w:numId w:val="2"/>
        </w:numPr>
        <w:rPr>
          <w:rFonts w:cs="Tahoma"/>
          <w:b/>
          <w:szCs w:val="18"/>
        </w:rPr>
      </w:pPr>
      <w:r w:rsidRPr="001C64EB">
        <w:rPr>
          <w:rFonts w:cs="Tahoma"/>
          <w:szCs w:val="18"/>
        </w:rPr>
        <w:t>wskaźników monitoringowych, w tym ich wartości docelowych, niewynikających z omyłki lub celów mających wpływ na kryteria wyboru projektów.</w:t>
      </w:r>
    </w:p>
    <w:p w14:paraId="2E00DE85" w14:textId="20727B4C" w:rsidR="001A7926" w:rsidRPr="001C64EB" w:rsidRDefault="001A7926" w:rsidP="00C854B0">
      <w:pPr>
        <w:pStyle w:val="Akapitzlist"/>
        <w:ind w:left="792"/>
        <w:rPr>
          <w:rFonts w:cs="Tahoma"/>
          <w:szCs w:val="18"/>
        </w:rPr>
      </w:pPr>
      <w:r w:rsidRPr="001C64EB">
        <w:rPr>
          <w:rFonts w:cs="Tahoma"/>
          <w:szCs w:val="18"/>
        </w:rPr>
        <w:t xml:space="preserve">Ostateczna ocena, czy uzupełnienie wniosku o grant lub poprawienie w nim oczywistej omyłki, doprowadziła do istotnej modyfikacji wniosku o grant, jest dokonywana przez </w:t>
      </w:r>
      <w:proofErr w:type="spellStart"/>
      <w:r w:rsidR="00062C90" w:rsidRPr="001C64EB">
        <w:rPr>
          <w:rFonts w:cs="Tahoma"/>
          <w:szCs w:val="18"/>
        </w:rPr>
        <w:t>Grantobiorcę</w:t>
      </w:r>
      <w:proofErr w:type="spellEnd"/>
      <w:r w:rsidRPr="001C64EB">
        <w:rPr>
          <w:rFonts w:cs="Tahoma"/>
          <w:szCs w:val="18"/>
        </w:rPr>
        <w:t>.</w:t>
      </w:r>
    </w:p>
    <w:p w14:paraId="57BE3818" w14:textId="58077D97" w:rsidR="0085767A" w:rsidRPr="001C64EB" w:rsidRDefault="0085767A" w:rsidP="00707D93">
      <w:pPr>
        <w:pStyle w:val="Akapitzlist"/>
        <w:numPr>
          <w:ilvl w:val="1"/>
          <w:numId w:val="21"/>
        </w:numPr>
        <w:rPr>
          <w:rFonts w:cs="Tahoma"/>
          <w:szCs w:val="18"/>
        </w:rPr>
      </w:pPr>
      <w:r w:rsidRPr="001C64EB">
        <w:rPr>
          <w:rFonts w:cs="Tahoma"/>
          <w:szCs w:val="18"/>
        </w:rPr>
        <w:t xml:space="preserve">Ocena formalna Wniosku o Grant jest przeprowadzana w terminie do 45 dni kalendarzowych, liczonych od dnia wpływu wniosku o grant. W uzasadnionych przypadkach (np. kumulacja dużej ilości wniosków, duża ilość niestandardowych przypadków wymagających dodatkowych wyjaśnień/analiz ze strony </w:t>
      </w:r>
      <w:proofErr w:type="spellStart"/>
      <w:r w:rsidRPr="001C64EB">
        <w:rPr>
          <w:rFonts w:cs="Tahoma"/>
          <w:szCs w:val="18"/>
        </w:rPr>
        <w:t>Grantodawcy</w:t>
      </w:r>
      <w:proofErr w:type="spellEnd"/>
      <w:r w:rsidRPr="001C64EB">
        <w:rPr>
          <w:rFonts w:cs="Tahoma"/>
          <w:szCs w:val="18"/>
        </w:rPr>
        <w:t xml:space="preserve">) ocena może zostać wydłużona. </w:t>
      </w:r>
      <w:proofErr w:type="spellStart"/>
      <w:r w:rsidRPr="001C64EB">
        <w:rPr>
          <w:rFonts w:cs="Tahoma"/>
          <w:szCs w:val="18"/>
        </w:rPr>
        <w:t>Grantodawca</w:t>
      </w:r>
      <w:proofErr w:type="spellEnd"/>
      <w:r w:rsidRPr="001C64EB">
        <w:rPr>
          <w:rFonts w:cs="Tahoma"/>
          <w:szCs w:val="18"/>
        </w:rPr>
        <w:t xml:space="preserve"> informuje o tym fakcie osobę/ podmiot ubiegający się o grant. Wnioski o grant są oceniane według kolejności wpływu (data dzienna, godzina) </w:t>
      </w:r>
      <w:r w:rsidR="00412E8B" w:rsidRPr="001C64EB">
        <w:rPr>
          <w:rFonts w:cs="Tahoma"/>
          <w:szCs w:val="18"/>
        </w:rPr>
        <w:t xml:space="preserve">do </w:t>
      </w:r>
      <w:proofErr w:type="spellStart"/>
      <w:r w:rsidR="00412E8B" w:rsidRPr="001C64EB">
        <w:rPr>
          <w:rFonts w:cs="Tahoma"/>
          <w:szCs w:val="18"/>
        </w:rPr>
        <w:t>Grantodawcy</w:t>
      </w:r>
      <w:proofErr w:type="spellEnd"/>
      <w:r w:rsidRPr="001C64EB">
        <w:rPr>
          <w:rFonts w:cs="Tahoma"/>
          <w:szCs w:val="18"/>
        </w:rPr>
        <w:t>. Składanie wyjaśnień/</w:t>
      </w:r>
      <w:r w:rsidR="00412E8B" w:rsidRPr="001C64EB">
        <w:rPr>
          <w:rFonts w:cs="Tahoma"/>
          <w:szCs w:val="18"/>
        </w:rPr>
        <w:t xml:space="preserve"> </w:t>
      </w:r>
      <w:r w:rsidRPr="001C64EB">
        <w:rPr>
          <w:rFonts w:cs="Tahoma"/>
          <w:szCs w:val="18"/>
        </w:rPr>
        <w:t>poprawa/</w:t>
      </w:r>
      <w:r w:rsidR="00412E8B" w:rsidRPr="001C64EB">
        <w:rPr>
          <w:rFonts w:cs="Tahoma"/>
          <w:szCs w:val="18"/>
        </w:rPr>
        <w:t xml:space="preserve"> </w:t>
      </w:r>
      <w:r w:rsidRPr="001C64EB">
        <w:rPr>
          <w:rFonts w:cs="Tahoma"/>
          <w:szCs w:val="18"/>
        </w:rPr>
        <w:t>uzupełnienie Wniosku o Grant wstrzymuje bieg oceny wniosku.</w:t>
      </w:r>
    </w:p>
    <w:p w14:paraId="377AD905" w14:textId="7C87E9E7" w:rsidR="0085767A" w:rsidRPr="001C64EB" w:rsidRDefault="0085767A" w:rsidP="00707D93">
      <w:pPr>
        <w:pStyle w:val="Akapitzlist"/>
        <w:numPr>
          <w:ilvl w:val="1"/>
          <w:numId w:val="21"/>
        </w:numPr>
        <w:rPr>
          <w:rFonts w:cs="Tahoma"/>
          <w:szCs w:val="18"/>
        </w:rPr>
      </w:pPr>
      <w:proofErr w:type="spellStart"/>
      <w:r w:rsidRPr="001C64EB">
        <w:rPr>
          <w:rFonts w:cs="Tahoma"/>
          <w:szCs w:val="18"/>
        </w:rPr>
        <w:lastRenderedPageBreak/>
        <w:t>Grantodawca</w:t>
      </w:r>
      <w:proofErr w:type="spellEnd"/>
      <w:r w:rsidRPr="001C64EB">
        <w:rPr>
          <w:rFonts w:cs="Tahoma"/>
          <w:szCs w:val="18"/>
        </w:rPr>
        <w:t xml:space="preserve"> prowadzi rejestr Wniosków o Grant, które przeszły pozytywnie i negatywnie ocenę formalną. </w:t>
      </w:r>
      <w:proofErr w:type="spellStart"/>
      <w:r w:rsidRPr="001C64EB">
        <w:rPr>
          <w:rFonts w:cs="Tahoma"/>
          <w:szCs w:val="18"/>
        </w:rPr>
        <w:t>Grantodawca</w:t>
      </w:r>
      <w:proofErr w:type="spellEnd"/>
      <w:r w:rsidRPr="001C64EB">
        <w:rPr>
          <w:rFonts w:cs="Tahoma"/>
          <w:szCs w:val="18"/>
        </w:rPr>
        <w:t xml:space="preserve"> zapewnia, że wszystkie Wnioski o Grant, które zostały pozytywnie ocenione formalnie, zostaną przekazane do oceny merytorycznej.</w:t>
      </w:r>
    </w:p>
    <w:p w14:paraId="6C483CCB" w14:textId="291A9468" w:rsidR="00412E8B" w:rsidRPr="001C64EB" w:rsidRDefault="00412E8B" w:rsidP="00707D93">
      <w:pPr>
        <w:pStyle w:val="Akapitzlist"/>
        <w:numPr>
          <w:ilvl w:val="1"/>
          <w:numId w:val="21"/>
        </w:numPr>
        <w:rPr>
          <w:rFonts w:cs="Tahoma"/>
          <w:szCs w:val="18"/>
        </w:rPr>
      </w:pPr>
      <w:proofErr w:type="spellStart"/>
      <w:r w:rsidRPr="001C64EB">
        <w:rPr>
          <w:rFonts w:cs="Tahoma"/>
          <w:szCs w:val="18"/>
        </w:rPr>
        <w:t>Grantobiorca</w:t>
      </w:r>
      <w:proofErr w:type="spellEnd"/>
      <w:r w:rsidRPr="001C64EB">
        <w:rPr>
          <w:rFonts w:cs="Tahoma"/>
          <w:szCs w:val="18"/>
        </w:rPr>
        <w:t xml:space="preserve"> zostanie poinformowany listownie lub mailowo o wyniku oceny formalnej Wniosku o Grant. Do negatywnej oceny wniosku o gran zostanie </w:t>
      </w:r>
      <w:r w:rsidR="00F071F3" w:rsidRPr="001C64EB">
        <w:rPr>
          <w:rFonts w:cs="Tahoma"/>
          <w:szCs w:val="18"/>
        </w:rPr>
        <w:t>każdorazowo dołączone</w:t>
      </w:r>
      <w:r w:rsidRPr="001C64EB">
        <w:rPr>
          <w:rFonts w:cs="Tahoma"/>
          <w:szCs w:val="18"/>
        </w:rPr>
        <w:t xml:space="preserve"> uzasadnienie</w:t>
      </w:r>
      <w:r w:rsidR="00F071F3" w:rsidRPr="001C64EB">
        <w:rPr>
          <w:rFonts w:cs="Tahoma"/>
          <w:szCs w:val="18"/>
        </w:rPr>
        <w:t>.</w:t>
      </w:r>
    </w:p>
    <w:p w14:paraId="7B0B011E" w14:textId="4D56C509" w:rsidR="003543DD" w:rsidRPr="001C64EB" w:rsidRDefault="003543DD" w:rsidP="00707D93">
      <w:pPr>
        <w:pStyle w:val="Akapitzlist"/>
        <w:numPr>
          <w:ilvl w:val="1"/>
          <w:numId w:val="21"/>
        </w:numPr>
        <w:rPr>
          <w:rFonts w:cs="Tahoma"/>
          <w:szCs w:val="18"/>
        </w:rPr>
      </w:pPr>
      <w:r w:rsidRPr="001C64EB">
        <w:rPr>
          <w:rFonts w:cs="Tahoma"/>
          <w:szCs w:val="18"/>
        </w:rPr>
        <w:t xml:space="preserve">Wniosek o Grant, który spełnił kryteria formalne, zostaje przekazany do oceny merytorycznej. </w:t>
      </w:r>
    </w:p>
    <w:p w14:paraId="68FC8B8F" w14:textId="77777777" w:rsidR="00AB4241" w:rsidRPr="001C64EB" w:rsidRDefault="003543DD" w:rsidP="00707D93">
      <w:pPr>
        <w:pStyle w:val="Akapitzlist"/>
        <w:numPr>
          <w:ilvl w:val="0"/>
          <w:numId w:val="21"/>
        </w:numPr>
        <w:rPr>
          <w:rFonts w:cs="Tahoma"/>
          <w:b/>
          <w:szCs w:val="18"/>
        </w:rPr>
      </w:pPr>
      <w:r w:rsidRPr="001C64EB">
        <w:rPr>
          <w:rFonts w:cs="Tahoma"/>
          <w:b/>
          <w:szCs w:val="18"/>
        </w:rPr>
        <w:t>Ocena merytoryczna</w:t>
      </w:r>
    </w:p>
    <w:p w14:paraId="6C546151" w14:textId="58D470E9" w:rsidR="00BA33BA" w:rsidRPr="001C64EB" w:rsidRDefault="003543DD" w:rsidP="00707D93">
      <w:pPr>
        <w:pStyle w:val="Akapitzlist"/>
        <w:numPr>
          <w:ilvl w:val="1"/>
          <w:numId w:val="21"/>
        </w:numPr>
        <w:rPr>
          <w:rFonts w:cs="Tahoma"/>
          <w:szCs w:val="18"/>
        </w:rPr>
      </w:pPr>
      <w:r w:rsidRPr="001C64EB">
        <w:rPr>
          <w:rFonts w:cs="Tahoma"/>
          <w:szCs w:val="18"/>
        </w:rPr>
        <w:t xml:space="preserve">Ocena merytoryczna przeprowadzana jest w terminie do 45 dni kalendarzowych, liczonych od dnia zatwierdzenia oceny formalnej Wniosku o Grant. </w:t>
      </w:r>
    </w:p>
    <w:p w14:paraId="58155B2D" w14:textId="47740BE5" w:rsidR="003543DD" w:rsidRPr="001C64EB" w:rsidRDefault="003543DD" w:rsidP="00707D93">
      <w:pPr>
        <w:pStyle w:val="Akapitzlist"/>
        <w:numPr>
          <w:ilvl w:val="1"/>
          <w:numId w:val="21"/>
        </w:numPr>
        <w:rPr>
          <w:rFonts w:cs="Tahoma"/>
          <w:szCs w:val="18"/>
        </w:rPr>
      </w:pPr>
      <w:r w:rsidRPr="001C64EB">
        <w:rPr>
          <w:rFonts w:cs="Tahoma"/>
          <w:szCs w:val="18"/>
        </w:rPr>
        <w:t>Oceniający, przed przystąpieniem do oceny merytorycznej, zobowiązani są podpisać deklaracje poufności i bezstronności.</w:t>
      </w:r>
    </w:p>
    <w:p w14:paraId="4657AC0F" w14:textId="5EBCAA64" w:rsidR="003543DD" w:rsidRPr="001C64EB" w:rsidRDefault="003543DD" w:rsidP="00707D93">
      <w:pPr>
        <w:pStyle w:val="Akapitzlist"/>
        <w:numPr>
          <w:ilvl w:val="1"/>
          <w:numId w:val="21"/>
        </w:numPr>
        <w:rPr>
          <w:rFonts w:cs="Tahoma"/>
          <w:szCs w:val="18"/>
        </w:rPr>
      </w:pPr>
      <w:r w:rsidRPr="001C64EB">
        <w:rPr>
          <w:rFonts w:cs="Tahoma"/>
          <w:szCs w:val="18"/>
        </w:rPr>
        <w:t>Ocena spełniania każdego z kryteriów jest przeprowadzana przez dwie osoby z zachowaniem zasady „dwóch par oczu” poprzez wypełnienie Karty oceny merytorycznej Wniosku o Grant. W przypadku zaistnienia rozbieżności w ocenie kryteriów merytorycznych kluczowych powołuje się trzecią osobę, która ma głos rozstrzygający.</w:t>
      </w:r>
    </w:p>
    <w:p w14:paraId="52354314" w14:textId="57D3EBFB" w:rsidR="00BA33BA" w:rsidRPr="001C64EB" w:rsidRDefault="003543DD" w:rsidP="00707D93">
      <w:pPr>
        <w:pStyle w:val="Akapitzlist"/>
        <w:numPr>
          <w:ilvl w:val="1"/>
          <w:numId w:val="21"/>
        </w:numPr>
        <w:rPr>
          <w:rFonts w:cs="Tahoma"/>
          <w:szCs w:val="18"/>
        </w:rPr>
      </w:pPr>
      <w:r w:rsidRPr="001C64EB">
        <w:rPr>
          <w:rFonts w:cs="Tahoma"/>
          <w:szCs w:val="18"/>
        </w:rPr>
        <w:t xml:space="preserve">W trakcie oceny merytorycznej </w:t>
      </w:r>
      <w:proofErr w:type="spellStart"/>
      <w:r w:rsidRPr="001C64EB">
        <w:rPr>
          <w:rFonts w:cs="Tahoma"/>
          <w:szCs w:val="18"/>
        </w:rPr>
        <w:t>Grantodawca</w:t>
      </w:r>
      <w:proofErr w:type="spellEnd"/>
      <w:r w:rsidRPr="001C64EB">
        <w:rPr>
          <w:rFonts w:cs="Tahoma"/>
          <w:szCs w:val="18"/>
        </w:rPr>
        <w:t xml:space="preserve"> może wystąpić do </w:t>
      </w:r>
      <w:proofErr w:type="spellStart"/>
      <w:r w:rsidRPr="001C64EB">
        <w:rPr>
          <w:rFonts w:cs="Tahoma"/>
          <w:szCs w:val="18"/>
        </w:rPr>
        <w:t>Grantobiorcy</w:t>
      </w:r>
      <w:proofErr w:type="spellEnd"/>
      <w:r w:rsidRPr="001C64EB">
        <w:rPr>
          <w:rFonts w:cs="Tahoma"/>
          <w:szCs w:val="18"/>
        </w:rPr>
        <w:t xml:space="preserve"> o wyjaśnienia w sprawie zapisów Wniosku o Grant, które są niezbędne do przeprowadzenia oceny kryteriów merytorycznych. W ramach procedury wyjaśnień </w:t>
      </w:r>
      <w:proofErr w:type="spellStart"/>
      <w:r w:rsidRPr="001C64EB">
        <w:rPr>
          <w:rFonts w:cs="Tahoma"/>
          <w:szCs w:val="18"/>
        </w:rPr>
        <w:t>Grantobiorca</w:t>
      </w:r>
      <w:proofErr w:type="spellEnd"/>
      <w:r w:rsidRPr="001C64EB">
        <w:rPr>
          <w:rFonts w:cs="Tahoma"/>
          <w:szCs w:val="18"/>
        </w:rPr>
        <w:t xml:space="preserve"> nie może uzupełniać wniosku o dodatkowe zapisy, a jedynie wyjaśniać zapisy umieszczone we Wniosku o Grant. Proces wyjaśnień wstrzymuje bieg oceny merytorycznej Wniosku.</w:t>
      </w:r>
    </w:p>
    <w:p w14:paraId="73E0FCA4" w14:textId="6DC98D8F" w:rsidR="00BA33BA" w:rsidRPr="001C64EB" w:rsidRDefault="00BA33BA" w:rsidP="00707D93">
      <w:pPr>
        <w:pStyle w:val="Akapitzlist"/>
        <w:numPr>
          <w:ilvl w:val="1"/>
          <w:numId w:val="21"/>
        </w:numPr>
        <w:rPr>
          <w:rFonts w:cs="Tahoma"/>
          <w:szCs w:val="18"/>
        </w:rPr>
      </w:pPr>
      <w:proofErr w:type="spellStart"/>
      <w:r w:rsidRPr="001C64EB">
        <w:rPr>
          <w:rFonts w:cs="Tahoma"/>
          <w:szCs w:val="18"/>
        </w:rPr>
        <w:t>Grantodawca</w:t>
      </w:r>
      <w:proofErr w:type="spellEnd"/>
      <w:r w:rsidRPr="001C64EB">
        <w:rPr>
          <w:rFonts w:cs="Tahoma"/>
          <w:szCs w:val="18"/>
        </w:rPr>
        <w:t xml:space="preserve"> prowadzi rejestr Wniosków o Grant, które przeszły pozytywnie i negatywnie ocenę merytoryczną. </w:t>
      </w:r>
    </w:p>
    <w:p w14:paraId="236C6364" w14:textId="352FC9AC" w:rsidR="00BA33BA" w:rsidRPr="001C64EB" w:rsidRDefault="00BA33BA" w:rsidP="00707D93">
      <w:pPr>
        <w:pStyle w:val="Akapitzlist"/>
        <w:numPr>
          <w:ilvl w:val="1"/>
          <w:numId w:val="21"/>
        </w:numPr>
        <w:rPr>
          <w:rFonts w:cs="Tahoma"/>
          <w:szCs w:val="18"/>
        </w:rPr>
      </w:pPr>
      <w:proofErr w:type="spellStart"/>
      <w:r w:rsidRPr="001C64EB">
        <w:rPr>
          <w:rFonts w:cs="Tahoma"/>
          <w:szCs w:val="18"/>
        </w:rPr>
        <w:t>Grantobiorca</w:t>
      </w:r>
      <w:proofErr w:type="spellEnd"/>
      <w:r w:rsidRPr="001C64EB">
        <w:rPr>
          <w:rFonts w:cs="Tahoma"/>
          <w:szCs w:val="18"/>
        </w:rPr>
        <w:t xml:space="preserve"> zostanie poinformowany listownie lub mailowo o wyniku oceny merytorycznej Wniosku o Grant. Do negatywnej oceny wniosku o gran zostanie każdorazowo dołączone uzasadnienie.</w:t>
      </w:r>
    </w:p>
    <w:p w14:paraId="2EAAA86D" w14:textId="77777777" w:rsidR="00AB4241" w:rsidRPr="001C64EB" w:rsidRDefault="00CA18A3" w:rsidP="00707D93">
      <w:pPr>
        <w:pStyle w:val="Akapitzlist"/>
        <w:numPr>
          <w:ilvl w:val="0"/>
          <w:numId w:val="21"/>
        </w:numPr>
        <w:rPr>
          <w:rFonts w:cs="Tahoma"/>
          <w:b/>
          <w:szCs w:val="18"/>
        </w:rPr>
      </w:pPr>
      <w:r w:rsidRPr="001C64EB">
        <w:rPr>
          <w:rFonts w:cs="Tahoma"/>
          <w:b/>
          <w:szCs w:val="18"/>
        </w:rPr>
        <w:t>Rozstrzygnięcie konkursu</w:t>
      </w:r>
    </w:p>
    <w:p w14:paraId="21946286" w14:textId="6AE6ADE9" w:rsidR="00CA18A3" w:rsidRPr="001C64EB" w:rsidRDefault="00CA18A3" w:rsidP="00707D93">
      <w:pPr>
        <w:pStyle w:val="Akapitzlist"/>
        <w:numPr>
          <w:ilvl w:val="1"/>
          <w:numId w:val="21"/>
        </w:numPr>
        <w:rPr>
          <w:rFonts w:cs="Tahoma"/>
          <w:b/>
          <w:szCs w:val="18"/>
        </w:rPr>
      </w:pPr>
      <w:r w:rsidRPr="001C64EB">
        <w:rPr>
          <w:rFonts w:cs="Tahoma"/>
          <w:szCs w:val="18"/>
        </w:rPr>
        <w:t xml:space="preserve">Po zakończeniu oceny spełnienia kryteriów wyboru </w:t>
      </w:r>
      <w:r w:rsidR="006D6A95" w:rsidRPr="001C64EB">
        <w:rPr>
          <w:rFonts w:cs="Tahoma"/>
          <w:szCs w:val="18"/>
        </w:rPr>
        <w:t>ocenianych</w:t>
      </w:r>
      <w:r w:rsidRPr="001C64EB">
        <w:rPr>
          <w:rFonts w:cs="Tahoma"/>
          <w:szCs w:val="18"/>
        </w:rPr>
        <w:t xml:space="preserve"> projektów</w:t>
      </w:r>
      <w:r w:rsidR="006D6A95" w:rsidRPr="001C64EB">
        <w:rPr>
          <w:rFonts w:cs="Tahoma"/>
          <w:szCs w:val="18"/>
        </w:rPr>
        <w:t xml:space="preserve"> </w:t>
      </w:r>
      <w:proofErr w:type="spellStart"/>
      <w:r w:rsidR="00DB1EDD" w:rsidRPr="001C64EB">
        <w:rPr>
          <w:rFonts w:cs="Tahoma"/>
          <w:szCs w:val="18"/>
        </w:rPr>
        <w:t>Granto</w:t>
      </w:r>
      <w:r w:rsidR="006D6A95" w:rsidRPr="001C64EB">
        <w:rPr>
          <w:rFonts w:cs="Tahoma"/>
          <w:szCs w:val="18"/>
        </w:rPr>
        <w:t>dawca</w:t>
      </w:r>
      <w:proofErr w:type="spellEnd"/>
      <w:r w:rsidRPr="001C64EB">
        <w:rPr>
          <w:rFonts w:cs="Tahoma"/>
          <w:szCs w:val="18"/>
        </w:rPr>
        <w:t xml:space="preserve"> sporządza</w:t>
      </w:r>
      <w:r w:rsidR="00062AA3" w:rsidRPr="001C64EB">
        <w:rPr>
          <w:rFonts w:cs="Tahoma"/>
          <w:szCs w:val="18"/>
        </w:rPr>
        <w:t xml:space="preserve"> protokół zwierający</w:t>
      </w:r>
      <w:r w:rsidRPr="001C64EB">
        <w:rPr>
          <w:rFonts w:cs="Tahoma"/>
          <w:szCs w:val="18"/>
        </w:rPr>
        <w:t xml:space="preserve"> listy pozytywnie oraz negatywnie ocenionych projektó</w:t>
      </w:r>
      <w:r w:rsidR="00062AA3" w:rsidRPr="001C64EB">
        <w:rPr>
          <w:rFonts w:cs="Tahoma"/>
          <w:szCs w:val="18"/>
        </w:rPr>
        <w:t>w</w:t>
      </w:r>
      <w:r w:rsidRPr="001C64EB">
        <w:rPr>
          <w:rFonts w:cs="Tahoma"/>
          <w:szCs w:val="18"/>
        </w:rPr>
        <w:t>. Projekty ocenione pozytywnie uszeregowane są według liczby uzyskanych punktów, począwszy od największej.</w:t>
      </w:r>
    </w:p>
    <w:p w14:paraId="5F719D11" w14:textId="151A8F4A" w:rsidR="00CA18A3" w:rsidRPr="001C64EB" w:rsidRDefault="00CA18A3" w:rsidP="00707D93">
      <w:pPr>
        <w:pStyle w:val="Akapitzlist"/>
        <w:numPr>
          <w:ilvl w:val="1"/>
          <w:numId w:val="21"/>
        </w:numPr>
        <w:rPr>
          <w:rFonts w:cs="Tahoma"/>
          <w:szCs w:val="18"/>
        </w:rPr>
      </w:pPr>
      <w:r w:rsidRPr="001C64EB">
        <w:rPr>
          <w:rFonts w:cs="Tahoma"/>
          <w:szCs w:val="18"/>
        </w:rPr>
        <w:t xml:space="preserve">Na podstawie w/w protokołu sporządzana jest lista rankingowa Wniosków o Grant uszeregowanych malejąco w odniesieniu do ilości otrzymanych punktów. </w:t>
      </w:r>
      <w:proofErr w:type="spellStart"/>
      <w:r w:rsidRPr="001C64EB">
        <w:rPr>
          <w:rFonts w:cs="Tahoma"/>
          <w:szCs w:val="18"/>
        </w:rPr>
        <w:t>Grantobiorcy</w:t>
      </w:r>
      <w:proofErr w:type="spellEnd"/>
      <w:r w:rsidRPr="001C64EB">
        <w:rPr>
          <w:rFonts w:cs="Tahoma"/>
          <w:szCs w:val="18"/>
        </w:rPr>
        <w:t>, których Wnioski o Grant otrzymały taką samą ilość punktów traktowani są równorzędnie, tzn., że cała grupa Wniosków o Grant o takiej samej ilości punktów zostaje uprawniona lub nie do otrzymania Grantu.</w:t>
      </w:r>
    </w:p>
    <w:p w14:paraId="24A38220" w14:textId="78226570" w:rsidR="00CA18A3" w:rsidRPr="001C64EB" w:rsidRDefault="00CA18A3" w:rsidP="00707D93">
      <w:pPr>
        <w:pStyle w:val="Akapitzlist"/>
        <w:numPr>
          <w:ilvl w:val="1"/>
          <w:numId w:val="21"/>
        </w:numPr>
        <w:rPr>
          <w:rFonts w:cs="Tahoma"/>
          <w:szCs w:val="18"/>
        </w:rPr>
      </w:pPr>
      <w:r w:rsidRPr="001C64EB">
        <w:rPr>
          <w:rFonts w:cs="Tahoma"/>
          <w:szCs w:val="18"/>
        </w:rPr>
        <w:t xml:space="preserve">Po przygotowaniu i zatwierdzeniu listy rankingowej </w:t>
      </w:r>
      <w:proofErr w:type="spellStart"/>
      <w:r w:rsidRPr="001C64EB">
        <w:rPr>
          <w:rFonts w:cs="Tahoma"/>
          <w:szCs w:val="18"/>
        </w:rPr>
        <w:t>Grantodawca</w:t>
      </w:r>
      <w:proofErr w:type="spellEnd"/>
      <w:r w:rsidRPr="001C64EB">
        <w:rPr>
          <w:rFonts w:cs="Tahoma"/>
          <w:szCs w:val="18"/>
        </w:rPr>
        <w:t xml:space="preserve"> zamieszcza na swojej stronie internetowej podstawowe informacje dotyczące rozstrzygnięcia konkursu (m.in. ilość złożonych wniosków, ilość i wartość Wniosków o Grant, które otrzymają Grant).</w:t>
      </w:r>
    </w:p>
    <w:p w14:paraId="35696A62" w14:textId="4F30BAC4" w:rsidR="00CA18A3" w:rsidRPr="001C64EB" w:rsidRDefault="00CA18A3" w:rsidP="00707D93">
      <w:pPr>
        <w:pStyle w:val="Akapitzlist"/>
        <w:numPr>
          <w:ilvl w:val="1"/>
          <w:numId w:val="21"/>
        </w:numPr>
        <w:rPr>
          <w:rFonts w:cs="Tahoma"/>
          <w:szCs w:val="18"/>
        </w:rPr>
      </w:pPr>
      <w:proofErr w:type="spellStart"/>
      <w:r w:rsidRPr="001C64EB">
        <w:rPr>
          <w:rFonts w:cs="Tahoma"/>
          <w:szCs w:val="18"/>
        </w:rPr>
        <w:t>Grantodawca</w:t>
      </w:r>
      <w:proofErr w:type="spellEnd"/>
      <w:r w:rsidRPr="001C64EB">
        <w:rPr>
          <w:rFonts w:cs="Tahoma"/>
          <w:szCs w:val="18"/>
        </w:rPr>
        <w:t xml:space="preserve"> niezwłocznie wysyła do </w:t>
      </w:r>
      <w:proofErr w:type="spellStart"/>
      <w:r w:rsidRPr="001C64EB">
        <w:rPr>
          <w:rFonts w:cs="Tahoma"/>
          <w:szCs w:val="18"/>
        </w:rPr>
        <w:t>Grantobiorcy</w:t>
      </w:r>
      <w:proofErr w:type="spellEnd"/>
      <w:r w:rsidRPr="001C64EB">
        <w:rPr>
          <w:rFonts w:cs="Tahoma"/>
          <w:szCs w:val="18"/>
        </w:rPr>
        <w:t xml:space="preserve"> pismo o zaakceptowaniu Wniosku o Grant i przyznaniu Grantu. </w:t>
      </w:r>
      <w:proofErr w:type="spellStart"/>
      <w:r w:rsidRPr="001C64EB">
        <w:rPr>
          <w:rFonts w:cs="Tahoma"/>
          <w:szCs w:val="18"/>
        </w:rPr>
        <w:t>Grantodawca</w:t>
      </w:r>
      <w:proofErr w:type="spellEnd"/>
      <w:r w:rsidRPr="001C64EB">
        <w:rPr>
          <w:rFonts w:cs="Tahoma"/>
          <w:szCs w:val="18"/>
        </w:rPr>
        <w:t xml:space="preserve"> mailowo </w:t>
      </w:r>
      <w:r w:rsidR="00062AA3" w:rsidRPr="001C64EB">
        <w:rPr>
          <w:rFonts w:cs="Tahoma"/>
          <w:szCs w:val="18"/>
        </w:rPr>
        <w:t xml:space="preserve">lub listownie </w:t>
      </w:r>
      <w:r w:rsidRPr="001C64EB">
        <w:rPr>
          <w:rFonts w:cs="Tahoma"/>
          <w:szCs w:val="18"/>
        </w:rPr>
        <w:t xml:space="preserve">informuje </w:t>
      </w:r>
      <w:proofErr w:type="spellStart"/>
      <w:r w:rsidRPr="001C64EB">
        <w:rPr>
          <w:rFonts w:cs="Tahoma"/>
          <w:szCs w:val="18"/>
        </w:rPr>
        <w:t>Grantobiorcę</w:t>
      </w:r>
      <w:proofErr w:type="spellEnd"/>
      <w:r w:rsidRPr="001C64EB">
        <w:rPr>
          <w:rFonts w:cs="Tahoma"/>
          <w:szCs w:val="18"/>
        </w:rPr>
        <w:t xml:space="preserve"> o umieszczeniu na liście projektów niewybranych do otrzymania Grantu.</w:t>
      </w:r>
    </w:p>
    <w:p w14:paraId="244DC25E" w14:textId="77777777" w:rsidR="00AB4241" w:rsidRPr="001C64EB" w:rsidRDefault="00CA18A3" w:rsidP="00707D93">
      <w:pPr>
        <w:pStyle w:val="Akapitzlist"/>
        <w:numPr>
          <w:ilvl w:val="1"/>
          <w:numId w:val="21"/>
        </w:numPr>
        <w:rPr>
          <w:rFonts w:cs="Tahoma"/>
          <w:szCs w:val="18"/>
        </w:rPr>
      </w:pPr>
      <w:r w:rsidRPr="001C64EB">
        <w:rPr>
          <w:rFonts w:cs="Tahoma"/>
          <w:szCs w:val="18"/>
        </w:rPr>
        <w:t xml:space="preserve">Decyzja w sprawie udzielenia Grantu ważna jest przez 30 dni od daty jej podjęcia i w tym terminie konieczne jest podpisanie z </w:t>
      </w:r>
      <w:proofErr w:type="spellStart"/>
      <w:r w:rsidRPr="001C64EB">
        <w:rPr>
          <w:rFonts w:cs="Tahoma"/>
          <w:szCs w:val="18"/>
        </w:rPr>
        <w:t>Grantobiorcą</w:t>
      </w:r>
      <w:proofErr w:type="spellEnd"/>
      <w:r w:rsidRPr="001C64EB">
        <w:rPr>
          <w:rFonts w:cs="Tahoma"/>
          <w:szCs w:val="18"/>
        </w:rPr>
        <w:t xml:space="preserve"> Umowy o udzielenie Grantu. </w:t>
      </w:r>
    </w:p>
    <w:p w14:paraId="4C9E048A" w14:textId="77777777" w:rsidR="0064722A" w:rsidRPr="001C64EB" w:rsidRDefault="00CA18A3" w:rsidP="00707D93">
      <w:pPr>
        <w:pStyle w:val="Akapitzlist"/>
        <w:numPr>
          <w:ilvl w:val="1"/>
          <w:numId w:val="21"/>
        </w:numPr>
        <w:rPr>
          <w:rFonts w:cs="Tahoma"/>
          <w:szCs w:val="18"/>
        </w:rPr>
      </w:pPr>
      <w:r w:rsidRPr="001C64EB">
        <w:rPr>
          <w:rFonts w:cs="Tahoma"/>
          <w:szCs w:val="18"/>
        </w:rPr>
        <w:lastRenderedPageBreak/>
        <w:t xml:space="preserve">Jeżeli termin, o którym mowa w ust. </w:t>
      </w:r>
      <w:r w:rsidR="00062AA3" w:rsidRPr="001C64EB">
        <w:rPr>
          <w:rFonts w:cs="Tahoma"/>
          <w:szCs w:val="18"/>
        </w:rPr>
        <w:t>5</w:t>
      </w:r>
      <w:r w:rsidRPr="001C64EB">
        <w:rPr>
          <w:rFonts w:cs="Tahoma"/>
          <w:szCs w:val="18"/>
        </w:rPr>
        <w:t xml:space="preserve">, nie jest możliwy do zachowania przez </w:t>
      </w:r>
      <w:proofErr w:type="spellStart"/>
      <w:r w:rsidRPr="001C64EB">
        <w:rPr>
          <w:rFonts w:cs="Tahoma"/>
          <w:szCs w:val="18"/>
        </w:rPr>
        <w:t>Grantobiorcę</w:t>
      </w:r>
      <w:proofErr w:type="spellEnd"/>
      <w:r w:rsidRPr="001C64EB">
        <w:rPr>
          <w:rFonts w:cs="Tahoma"/>
          <w:szCs w:val="18"/>
        </w:rPr>
        <w:t xml:space="preserve">, zobowiązany jest on przed upływem wyznaczonego czasu poinformować pisemnie o tym fakcie </w:t>
      </w:r>
      <w:proofErr w:type="spellStart"/>
      <w:r w:rsidRPr="001C64EB">
        <w:rPr>
          <w:rFonts w:cs="Tahoma"/>
          <w:szCs w:val="18"/>
        </w:rPr>
        <w:t>Grantodawcę</w:t>
      </w:r>
      <w:proofErr w:type="spellEnd"/>
      <w:r w:rsidRPr="001C64EB">
        <w:rPr>
          <w:rFonts w:cs="Tahoma"/>
          <w:szCs w:val="18"/>
        </w:rPr>
        <w:t xml:space="preserve">. </w:t>
      </w:r>
      <w:proofErr w:type="spellStart"/>
      <w:r w:rsidRPr="001C64EB">
        <w:rPr>
          <w:rFonts w:cs="Tahoma"/>
          <w:szCs w:val="18"/>
        </w:rPr>
        <w:t>Grantodawca</w:t>
      </w:r>
      <w:proofErr w:type="spellEnd"/>
      <w:r w:rsidRPr="001C64EB">
        <w:rPr>
          <w:rFonts w:cs="Tahoma"/>
          <w:szCs w:val="18"/>
        </w:rPr>
        <w:t xml:space="preserve"> wyznaczy inny termin.</w:t>
      </w:r>
    </w:p>
    <w:p w14:paraId="7A5468D8" w14:textId="7897A2E8" w:rsidR="0064722A" w:rsidRPr="001C64EB" w:rsidRDefault="00CA18A3" w:rsidP="00707D93">
      <w:pPr>
        <w:pStyle w:val="Akapitzlist"/>
        <w:numPr>
          <w:ilvl w:val="1"/>
          <w:numId w:val="21"/>
        </w:numPr>
        <w:rPr>
          <w:rFonts w:cs="Tahoma"/>
          <w:szCs w:val="18"/>
        </w:rPr>
      </w:pPr>
      <w:r w:rsidRPr="001C64EB">
        <w:rPr>
          <w:rFonts w:cs="Tahoma"/>
          <w:szCs w:val="18"/>
        </w:rPr>
        <w:t xml:space="preserve">W przypadku negatywnej decyzji w sprawie udzielenie Grantu, </w:t>
      </w:r>
      <w:proofErr w:type="spellStart"/>
      <w:r w:rsidRPr="001C64EB">
        <w:rPr>
          <w:rFonts w:cs="Tahoma"/>
          <w:szCs w:val="18"/>
        </w:rPr>
        <w:t>Grantobiorcy</w:t>
      </w:r>
      <w:proofErr w:type="spellEnd"/>
      <w:r w:rsidRPr="001C64EB">
        <w:rPr>
          <w:rFonts w:cs="Tahoma"/>
          <w:szCs w:val="18"/>
        </w:rPr>
        <w:t xml:space="preserve"> nie przysługuje prawo odwołania do organów nadrzędnych </w:t>
      </w:r>
      <w:proofErr w:type="spellStart"/>
      <w:r w:rsidRPr="001C64EB">
        <w:rPr>
          <w:rFonts w:cs="Tahoma"/>
          <w:szCs w:val="18"/>
        </w:rPr>
        <w:t>Grantodawcy</w:t>
      </w:r>
      <w:proofErr w:type="spellEnd"/>
      <w:r w:rsidRPr="001C64EB">
        <w:rPr>
          <w:rFonts w:cs="Tahoma"/>
          <w:szCs w:val="18"/>
        </w:rPr>
        <w:t xml:space="preserve"> oraz do DIP. </w:t>
      </w:r>
    </w:p>
    <w:p w14:paraId="32D4DD37" w14:textId="5F407260" w:rsidR="00CA18A3" w:rsidRPr="001C64EB" w:rsidRDefault="00CA18A3" w:rsidP="00707D93">
      <w:pPr>
        <w:pStyle w:val="Akapitzlist"/>
        <w:numPr>
          <w:ilvl w:val="1"/>
          <w:numId w:val="21"/>
        </w:numPr>
        <w:rPr>
          <w:rFonts w:cs="Tahoma"/>
          <w:szCs w:val="18"/>
        </w:rPr>
      </w:pPr>
      <w:r w:rsidRPr="001C64EB">
        <w:rPr>
          <w:rFonts w:cs="Tahoma"/>
          <w:szCs w:val="18"/>
        </w:rPr>
        <w:t>Okres realizacji projektów grantowych trwa od 01.0</w:t>
      </w:r>
      <w:r w:rsidR="0064722A" w:rsidRPr="001C64EB">
        <w:rPr>
          <w:rFonts w:cs="Tahoma"/>
          <w:szCs w:val="18"/>
        </w:rPr>
        <w:t>6</w:t>
      </w:r>
      <w:r w:rsidRPr="001C64EB">
        <w:rPr>
          <w:rFonts w:cs="Tahoma"/>
          <w:szCs w:val="18"/>
        </w:rPr>
        <w:t>.2020</w:t>
      </w:r>
      <w:r w:rsidR="00C71A28" w:rsidRPr="001C64EB">
        <w:rPr>
          <w:rFonts w:cs="Tahoma"/>
          <w:szCs w:val="18"/>
        </w:rPr>
        <w:t xml:space="preserve"> </w:t>
      </w:r>
      <w:r w:rsidRPr="001C64EB">
        <w:rPr>
          <w:rFonts w:cs="Tahoma"/>
          <w:szCs w:val="18"/>
        </w:rPr>
        <w:t xml:space="preserve">r. do </w:t>
      </w:r>
      <w:r w:rsidR="00DA5A0A" w:rsidRPr="001C64EB">
        <w:rPr>
          <w:rFonts w:cs="Tahoma"/>
          <w:szCs w:val="18"/>
        </w:rPr>
        <w:t>30.09.2021</w:t>
      </w:r>
      <w:r w:rsidR="00C71A28" w:rsidRPr="001C64EB">
        <w:rPr>
          <w:rFonts w:cs="Tahoma"/>
          <w:szCs w:val="18"/>
        </w:rPr>
        <w:t xml:space="preserve"> </w:t>
      </w:r>
      <w:r w:rsidRPr="001C64EB">
        <w:rPr>
          <w:rFonts w:cs="Tahoma"/>
          <w:szCs w:val="18"/>
        </w:rPr>
        <w:t xml:space="preserve">r., z zastrzeżeniem, że </w:t>
      </w:r>
      <w:r w:rsidR="00DA5A0A" w:rsidRPr="001C64EB">
        <w:rPr>
          <w:rFonts w:cs="Tahoma"/>
          <w:szCs w:val="18"/>
        </w:rPr>
        <w:t xml:space="preserve">realizacji i </w:t>
      </w:r>
      <w:r w:rsidRPr="001C64EB">
        <w:rPr>
          <w:rFonts w:cs="Tahoma"/>
          <w:szCs w:val="18"/>
        </w:rPr>
        <w:t xml:space="preserve">rozliczenie Grantu trwa nie dłużej niż </w:t>
      </w:r>
      <w:r w:rsidR="00DA5A0A" w:rsidRPr="001C64EB">
        <w:rPr>
          <w:rFonts w:cs="Tahoma"/>
          <w:szCs w:val="18"/>
        </w:rPr>
        <w:t>6</w:t>
      </w:r>
      <w:r w:rsidRPr="001C64EB">
        <w:rPr>
          <w:rFonts w:cs="Tahoma"/>
          <w:szCs w:val="18"/>
        </w:rPr>
        <w:t xml:space="preserve"> </w:t>
      </w:r>
      <w:r w:rsidR="00DA5A0A" w:rsidRPr="001C64EB">
        <w:rPr>
          <w:rFonts w:cs="Tahoma"/>
          <w:szCs w:val="18"/>
        </w:rPr>
        <w:t>miesięcy</w:t>
      </w:r>
      <w:r w:rsidRPr="001C64EB">
        <w:rPr>
          <w:rFonts w:cs="Tahoma"/>
          <w:szCs w:val="18"/>
        </w:rPr>
        <w:t xml:space="preserve">. </w:t>
      </w:r>
      <w:r w:rsidR="00DA5A0A" w:rsidRPr="001C64EB">
        <w:rPr>
          <w:rFonts w:cs="Tahoma"/>
          <w:szCs w:val="18"/>
        </w:rPr>
        <w:t>O</w:t>
      </w:r>
      <w:r w:rsidRPr="001C64EB">
        <w:rPr>
          <w:rFonts w:cs="Tahoma"/>
          <w:szCs w:val="18"/>
        </w:rPr>
        <w:t>stateczn</w:t>
      </w:r>
      <w:r w:rsidR="00DA5A0A" w:rsidRPr="001C64EB">
        <w:rPr>
          <w:rFonts w:cs="Tahoma"/>
          <w:szCs w:val="18"/>
        </w:rPr>
        <w:t>a</w:t>
      </w:r>
      <w:r w:rsidRPr="001C64EB">
        <w:rPr>
          <w:rFonts w:cs="Tahoma"/>
          <w:szCs w:val="18"/>
        </w:rPr>
        <w:t xml:space="preserve"> dat</w:t>
      </w:r>
      <w:r w:rsidR="00DA5A0A" w:rsidRPr="001C64EB">
        <w:rPr>
          <w:rFonts w:cs="Tahoma"/>
          <w:szCs w:val="18"/>
        </w:rPr>
        <w:t>a na</w:t>
      </w:r>
      <w:r w:rsidRPr="001C64EB">
        <w:rPr>
          <w:rFonts w:cs="Tahoma"/>
          <w:szCs w:val="18"/>
        </w:rPr>
        <w:t xml:space="preserve"> złożenie przez </w:t>
      </w:r>
      <w:proofErr w:type="spellStart"/>
      <w:r w:rsidRPr="001C64EB">
        <w:rPr>
          <w:rFonts w:cs="Tahoma"/>
          <w:szCs w:val="18"/>
        </w:rPr>
        <w:t>Grantobiorcę</w:t>
      </w:r>
      <w:proofErr w:type="spellEnd"/>
      <w:r w:rsidRPr="001C64EB">
        <w:rPr>
          <w:rFonts w:cs="Tahoma"/>
          <w:szCs w:val="18"/>
        </w:rPr>
        <w:t xml:space="preserve"> do </w:t>
      </w:r>
      <w:proofErr w:type="spellStart"/>
      <w:r w:rsidRPr="001C64EB">
        <w:rPr>
          <w:rFonts w:cs="Tahoma"/>
          <w:szCs w:val="18"/>
        </w:rPr>
        <w:t>Grantodawcy</w:t>
      </w:r>
      <w:proofErr w:type="spellEnd"/>
      <w:r w:rsidRPr="001C64EB">
        <w:rPr>
          <w:rFonts w:cs="Tahoma"/>
          <w:szCs w:val="18"/>
        </w:rPr>
        <w:t xml:space="preserve"> kompletnego wniosku o wypłatę Grantu wraz z załącznikami wyznacza się dzień </w:t>
      </w:r>
      <w:r w:rsidR="00DA5A0A" w:rsidRPr="001C64EB">
        <w:rPr>
          <w:rFonts w:cs="Tahoma"/>
          <w:szCs w:val="18"/>
        </w:rPr>
        <w:t>29.10.2021 </w:t>
      </w:r>
      <w:r w:rsidRPr="001C64EB">
        <w:rPr>
          <w:rFonts w:cs="Tahoma"/>
          <w:szCs w:val="18"/>
        </w:rPr>
        <w:t>r.</w:t>
      </w:r>
    </w:p>
    <w:p w14:paraId="6AC44692" w14:textId="77777777" w:rsidR="008A2E9C" w:rsidRPr="001C64EB" w:rsidRDefault="008C54E3" w:rsidP="00707D93">
      <w:pPr>
        <w:pStyle w:val="Akapitzlist"/>
        <w:numPr>
          <w:ilvl w:val="0"/>
          <w:numId w:val="21"/>
        </w:numPr>
        <w:rPr>
          <w:rFonts w:cs="Tahoma"/>
          <w:b/>
          <w:szCs w:val="18"/>
        </w:rPr>
      </w:pPr>
      <w:r w:rsidRPr="001C64EB">
        <w:rPr>
          <w:rFonts w:cs="Tahoma"/>
          <w:b/>
          <w:szCs w:val="18"/>
        </w:rPr>
        <w:t>Umowa o powierzenie grantu</w:t>
      </w:r>
    </w:p>
    <w:p w14:paraId="0BA3FD5C" w14:textId="2E86219D" w:rsidR="008C54E3" w:rsidRPr="001C64EB" w:rsidRDefault="008C54E3" w:rsidP="00707D93">
      <w:pPr>
        <w:pStyle w:val="Akapitzlist"/>
        <w:numPr>
          <w:ilvl w:val="1"/>
          <w:numId w:val="21"/>
        </w:numPr>
        <w:rPr>
          <w:rFonts w:cs="Tahoma"/>
          <w:b/>
          <w:szCs w:val="18"/>
        </w:rPr>
      </w:pPr>
      <w:r w:rsidRPr="001C64EB">
        <w:rPr>
          <w:rFonts w:cs="Tahoma"/>
          <w:szCs w:val="18"/>
        </w:rPr>
        <w:t xml:space="preserve">Po zakwalifikowaniu się </w:t>
      </w:r>
      <w:proofErr w:type="spellStart"/>
      <w:r w:rsidRPr="001C64EB">
        <w:rPr>
          <w:rFonts w:cs="Tahoma"/>
          <w:szCs w:val="18"/>
        </w:rPr>
        <w:t>Grantobiorcy</w:t>
      </w:r>
      <w:proofErr w:type="spellEnd"/>
      <w:r w:rsidRPr="001C64EB">
        <w:rPr>
          <w:rFonts w:cs="Tahoma"/>
          <w:szCs w:val="18"/>
        </w:rPr>
        <w:t xml:space="preserve"> do otrzymania Grantu podpisuje on z </w:t>
      </w:r>
      <w:proofErr w:type="spellStart"/>
      <w:r w:rsidRPr="001C64EB">
        <w:rPr>
          <w:rFonts w:cs="Tahoma"/>
          <w:szCs w:val="18"/>
        </w:rPr>
        <w:t>Grantodawcą</w:t>
      </w:r>
      <w:proofErr w:type="spellEnd"/>
      <w:r w:rsidRPr="001C64EB">
        <w:rPr>
          <w:rFonts w:cs="Tahoma"/>
          <w:szCs w:val="18"/>
        </w:rPr>
        <w:t xml:space="preserve"> Umowę </w:t>
      </w:r>
      <w:r w:rsidRPr="001C64EB">
        <w:rPr>
          <w:rFonts w:cs="Tahoma"/>
          <w:szCs w:val="18"/>
        </w:rPr>
        <w:br/>
        <w:t xml:space="preserve">o powierzenie grantu. </w:t>
      </w:r>
    </w:p>
    <w:p w14:paraId="58FDAE88" w14:textId="1D5F309B" w:rsidR="008C54E3" w:rsidRPr="001C64EB" w:rsidRDefault="008C54E3" w:rsidP="00707D93">
      <w:pPr>
        <w:pStyle w:val="Akapitzlist"/>
        <w:numPr>
          <w:ilvl w:val="1"/>
          <w:numId w:val="21"/>
        </w:numPr>
        <w:rPr>
          <w:rFonts w:cs="Tahoma"/>
          <w:szCs w:val="18"/>
        </w:rPr>
      </w:pPr>
      <w:r w:rsidRPr="001C64EB">
        <w:rPr>
          <w:rFonts w:cs="Tahoma"/>
          <w:szCs w:val="18"/>
        </w:rPr>
        <w:t>Wzór umowy o powierzenie grantu projektu stanowi minimalny zakres oraz przedmiot praw i obowiązków Stron Umowy i może być przez Strony Umowy zgodnie uzupełniany o inne postanowienia niezbędne i istotne dla realizacji projektu. Postanowienia stanowiące uzupełnienie treści Umowy nie mogą być jednak sprzeczne z postanowieniami zawartymi w jej treści jak i z m.in. systemem realizacji RPO WD 2014-2020 oraz przepisami prawa wspólnotowego i polskiego, pod rygorem nieważności czynności prawnej.</w:t>
      </w:r>
    </w:p>
    <w:p w14:paraId="171D6BA1" w14:textId="63178EB5" w:rsidR="008C54E3" w:rsidRPr="001C64EB" w:rsidRDefault="008C54E3" w:rsidP="00707D93">
      <w:pPr>
        <w:pStyle w:val="Akapitzlist"/>
        <w:numPr>
          <w:ilvl w:val="1"/>
          <w:numId w:val="21"/>
        </w:numPr>
        <w:rPr>
          <w:rFonts w:cs="Tahoma"/>
          <w:szCs w:val="18"/>
        </w:rPr>
      </w:pPr>
      <w:r w:rsidRPr="001C64EB">
        <w:rPr>
          <w:rFonts w:cs="Tahoma"/>
          <w:szCs w:val="18"/>
        </w:rPr>
        <w:t xml:space="preserve">Wzór umowy obowiązującej </w:t>
      </w:r>
      <w:r w:rsidR="006E1FAA" w:rsidRPr="001C64EB">
        <w:rPr>
          <w:rFonts w:cs="Tahoma"/>
          <w:szCs w:val="18"/>
        </w:rPr>
        <w:t xml:space="preserve">jest </w:t>
      </w:r>
      <w:r w:rsidRPr="001C64EB">
        <w:rPr>
          <w:rFonts w:cs="Tahoma"/>
          <w:szCs w:val="18"/>
        </w:rPr>
        <w:t xml:space="preserve">dostępny w siedzibie </w:t>
      </w:r>
      <w:proofErr w:type="spellStart"/>
      <w:r w:rsidRPr="001C64EB">
        <w:rPr>
          <w:rFonts w:cs="Tahoma"/>
          <w:szCs w:val="18"/>
        </w:rPr>
        <w:t>Grantodawcy</w:t>
      </w:r>
      <w:proofErr w:type="spellEnd"/>
      <w:r w:rsidRPr="001C64EB">
        <w:rPr>
          <w:rFonts w:cs="Tahoma"/>
          <w:szCs w:val="18"/>
        </w:rPr>
        <w:t xml:space="preserve"> oraz na stronie internetowej projektu. </w:t>
      </w:r>
    </w:p>
    <w:p w14:paraId="58071875" w14:textId="77777777" w:rsidR="006204B8" w:rsidRPr="001C64EB" w:rsidRDefault="006204B8" w:rsidP="006204B8">
      <w:pPr>
        <w:pStyle w:val="Akapitzlist"/>
        <w:numPr>
          <w:ilvl w:val="1"/>
          <w:numId w:val="21"/>
        </w:numPr>
        <w:rPr>
          <w:rFonts w:cs="Tahoma"/>
          <w:szCs w:val="18"/>
        </w:rPr>
      </w:pPr>
      <w:bookmarkStart w:id="15" w:name="_Toc5139401"/>
      <w:bookmarkStart w:id="16" w:name="_Toc7251560"/>
      <w:proofErr w:type="spellStart"/>
      <w:r w:rsidRPr="001C64EB">
        <w:rPr>
          <w:rFonts w:cs="Tahoma"/>
          <w:szCs w:val="18"/>
        </w:rPr>
        <w:t>Grantobiorca</w:t>
      </w:r>
      <w:proofErr w:type="spellEnd"/>
      <w:r w:rsidRPr="001C64EB">
        <w:rPr>
          <w:rFonts w:cs="Tahoma"/>
          <w:szCs w:val="18"/>
        </w:rPr>
        <w:t xml:space="preserve"> ma prawo przenieść własność na inną osobę/ podmiot. Jednakże w umowie o powierzenie grantów zawarto zapisy obligujące do zachowania zasad przeniesienia. Osoba fizyczna/ podmiot przejmujący w/w prawo do dysponowania nieruchomością w wyniku sprzedaży nieruchomości musi podpisać stosowną Umowę o powierzenie Grantu. Niepodpisanie umowy o powierzenie grantu przez osobę/ podmiot, na który przenoszone są prawa, niezależnie od przyczyn niepodpisania tej Umowy skutkować będzie koniecznością zwrotu wypłaconego grantu wraz z odsetkami. </w:t>
      </w:r>
      <w:proofErr w:type="spellStart"/>
      <w:r w:rsidRPr="001C64EB">
        <w:rPr>
          <w:rFonts w:cs="Tahoma"/>
          <w:szCs w:val="18"/>
        </w:rPr>
        <w:t>Grantobiorca</w:t>
      </w:r>
      <w:proofErr w:type="spellEnd"/>
      <w:r w:rsidRPr="001C64EB">
        <w:rPr>
          <w:rFonts w:cs="Tahoma"/>
          <w:szCs w:val="18"/>
        </w:rPr>
        <w:t xml:space="preserve"> zbywający prawo do dysponowania nieruchomością musi udowodnić wiarygodnie, że cena sprzedaży nieruchomości nie zawiera kosztów budowy/ zainstalowania instalacji objętej Grantem.</w:t>
      </w:r>
    </w:p>
    <w:p w14:paraId="5445E81C" w14:textId="3E4C94CB" w:rsidR="00A34B59" w:rsidRPr="001C64EB" w:rsidRDefault="00C60FA4" w:rsidP="00A34B59">
      <w:pPr>
        <w:pStyle w:val="Nagwek1"/>
        <w:rPr>
          <w:color w:val="auto"/>
        </w:rPr>
      </w:pPr>
      <w:r w:rsidRPr="001C64EB">
        <w:rPr>
          <w:color w:val="auto"/>
        </w:rPr>
        <w:t>9. </w:t>
      </w:r>
      <w:r w:rsidR="00A34B59" w:rsidRPr="001C64EB">
        <w:rPr>
          <w:color w:val="auto"/>
        </w:rPr>
        <w:t xml:space="preserve">Tryb wypłacania grantów, w tym zakres wymaganej dokumentacji od </w:t>
      </w:r>
      <w:proofErr w:type="spellStart"/>
      <w:r w:rsidR="00A34B59" w:rsidRPr="001C64EB">
        <w:rPr>
          <w:color w:val="auto"/>
        </w:rPr>
        <w:t>Grantobiorcy</w:t>
      </w:r>
      <w:proofErr w:type="spellEnd"/>
      <w:r w:rsidR="00A34B59" w:rsidRPr="001C64EB">
        <w:rPr>
          <w:color w:val="auto"/>
        </w:rPr>
        <w:t xml:space="preserve"> oraz jej weryfikacja</w:t>
      </w:r>
      <w:bookmarkEnd w:id="15"/>
      <w:bookmarkEnd w:id="16"/>
    </w:p>
    <w:p w14:paraId="18E662ED" w14:textId="77777777" w:rsidR="00A34B59" w:rsidRPr="001C64EB" w:rsidRDefault="00A34B59" w:rsidP="00707D93">
      <w:pPr>
        <w:pStyle w:val="Akapitzlist"/>
        <w:numPr>
          <w:ilvl w:val="0"/>
          <w:numId w:val="7"/>
        </w:numPr>
        <w:rPr>
          <w:rFonts w:cs="Tahoma"/>
          <w:szCs w:val="18"/>
        </w:rPr>
      </w:pPr>
      <w:r w:rsidRPr="001C64EB">
        <w:rPr>
          <w:rFonts w:cs="Tahoma"/>
          <w:szCs w:val="18"/>
        </w:rPr>
        <w:t xml:space="preserve">Grant wypłacany jest </w:t>
      </w:r>
      <w:proofErr w:type="spellStart"/>
      <w:r w:rsidRPr="001C64EB">
        <w:rPr>
          <w:rFonts w:cs="Tahoma"/>
          <w:szCs w:val="18"/>
        </w:rPr>
        <w:t>Grantobiorcy</w:t>
      </w:r>
      <w:proofErr w:type="spellEnd"/>
      <w:r w:rsidRPr="001C64EB">
        <w:rPr>
          <w:rFonts w:cs="Tahoma"/>
          <w:szCs w:val="18"/>
        </w:rPr>
        <w:t xml:space="preserve"> na podstawie prawidłowo przygotowanego Wniosku o wypłatę Grantu wraz z załącznikami jednorazowo, po wykonaniu całej inwestycji opisanej we Wniosku o Grant, potwierdzeniu właściwym odbiorem i opłaceniu wydatków przez </w:t>
      </w:r>
      <w:proofErr w:type="spellStart"/>
      <w:r w:rsidRPr="001C64EB">
        <w:rPr>
          <w:rFonts w:cs="Tahoma"/>
          <w:szCs w:val="18"/>
        </w:rPr>
        <w:t>Grantobiorcę</w:t>
      </w:r>
      <w:proofErr w:type="spellEnd"/>
      <w:r w:rsidRPr="001C64EB">
        <w:rPr>
          <w:rFonts w:cs="Tahoma"/>
          <w:szCs w:val="18"/>
        </w:rPr>
        <w:t xml:space="preserve"> oraz podłączeniu do sieci ciepłowniczej/ chłodniczej/ energetycznej i podpisaniu właściwej umowy z przedsiębiorstwem energetycznym (jeśli dotyczy), jak również po zawarciu umowy ubezpieczenia budynku wraz z ze źródłem ciepła/ instalacją lub ubezpieczenia samego źródła ciepła/ samej instalacji. </w:t>
      </w:r>
    </w:p>
    <w:p w14:paraId="596DCF06" w14:textId="77777777" w:rsidR="00A34B59" w:rsidRPr="001C64EB" w:rsidRDefault="00A34B59" w:rsidP="00707D93">
      <w:pPr>
        <w:pStyle w:val="Akapitzlist"/>
        <w:numPr>
          <w:ilvl w:val="0"/>
          <w:numId w:val="7"/>
        </w:numPr>
        <w:rPr>
          <w:rFonts w:cs="Tahoma"/>
          <w:szCs w:val="18"/>
        </w:rPr>
      </w:pPr>
      <w:r w:rsidRPr="001C64EB">
        <w:rPr>
          <w:rFonts w:cs="Tahoma"/>
          <w:szCs w:val="18"/>
        </w:rPr>
        <w:t xml:space="preserve">Na etapie oceny wniosków o grant analizie poddana jest potencjalna kwalifikowalność wydatków ujętych we wniosku. Przyjęcie danego projektu do realizacji i podpisanie z </w:t>
      </w:r>
      <w:proofErr w:type="spellStart"/>
      <w:r w:rsidRPr="001C64EB">
        <w:rPr>
          <w:rFonts w:cs="Tahoma"/>
          <w:szCs w:val="18"/>
        </w:rPr>
        <w:t>Grantobiorcą</w:t>
      </w:r>
      <w:proofErr w:type="spellEnd"/>
      <w:r w:rsidRPr="001C64EB">
        <w:rPr>
          <w:rFonts w:cs="Tahoma"/>
          <w:szCs w:val="18"/>
        </w:rPr>
        <w:t xml:space="preserve"> Umowy o powierzenie grantu nie oznacza, że wszystkie wydatki ujęte we wniosku o grant, a przedstawione przez </w:t>
      </w:r>
      <w:proofErr w:type="spellStart"/>
      <w:r w:rsidRPr="001C64EB">
        <w:rPr>
          <w:rFonts w:cs="Tahoma"/>
          <w:szCs w:val="18"/>
        </w:rPr>
        <w:t>Grantobiorcę</w:t>
      </w:r>
      <w:proofErr w:type="spellEnd"/>
      <w:r w:rsidRPr="001C64EB">
        <w:rPr>
          <w:rFonts w:cs="Tahoma"/>
          <w:szCs w:val="18"/>
        </w:rPr>
        <w:t xml:space="preserve"> do rozliczenia w trakcie realizacji projektu, będą kwalifikować się do współfinansowania. Ocena kwalifikowalności wydatków polegająca na analizie zgodności jego poniesienia z obowiązującymi przepisami dokonywana jest w trakcie realizacji projektu oraz po jego zakończeniu – na etapie oceny przedkładanych wniosków o płatność oraz na etapie kontroli projektu.</w:t>
      </w:r>
    </w:p>
    <w:p w14:paraId="64AC0A78" w14:textId="77777777" w:rsidR="00A34B59" w:rsidRPr="001C64EB" w:rsidRDefault="00A34B59" w:rsidP="00707D93">
      <w:pPr>
        <w:pStyle w:val="Akapitzlist"/>
        <w:numPr>
          <w:ilvl w:val="0"/>
          <w:numId w:val="7"/>
        </w:numPr>
        <w:rPr>
          <w:rFonts w:cs="Tahoma"/>
          <w:szCs w:val="18"/>
        </w:rPr>
      </w:pPr>
      <w:proofErr w:type="spellStart"/>
      <w:r w:rsidRPr="001C64EB">
        <w:rPr>
          <w:rFonts w:cs="Tahoma"/>
          <w:szCs w:val="18"/>
        </w:rPr>
        <w:lastRenderedPageBreak/>
        <w:t>Grantobiorca</w:t>
      </w:r>
      <w:proofErr w:type="spellEnd"/>
      <w:r w:rsidRPr="001C64EB">
        <w:rPr>
          <w:rFonts w:cs="Tahoma"/>
          <w:szCs w:val="18"/>
        </w:rPr>
        <w:t xml:space="preserve"> zobowiązany jest do rozliczenia przyznanego grantu na warunkach wskazanych w Umowie.</w:t>
      </w:r>
    </w:p>
    <w:p w14:paraId="11138495" w14:textId="4E8A1490" w:rsidR="00A34B59" w:rsidRPr="001C64EB" w:rsidRDefault="00A34B59" w:rsidP="00707D93">
      <w:pPr>
        <w:pStyle w:val="Akapitzlist"/>
        <w:numPr>
          <w:ilvl w:val="0"/>
          <w:numId w:val="7"/>
        </w:numPr>
        <w:rPr>
          <w:rFonts w:cs="Tahoma"/>
          <w:szCs w:val="18"/>
        </w:rPr>
      </w:pPr>
      <w:r w:rsidRPr="001C64EB">
        <w:rPr>
          <w:rFonts w:cs="Tahoma"/>
          <w:szCs w:val="18"/>
        </w:rPr>
        <w:t xml:space="preserve">Warunkiem otrzymania przez </w:t>
      </w:r>
      <w:proofErr w:type="spellStart"/>
      <w:r w:rsidRPr="001C64EB">
        <w:rPr>
          <w:rFonts w:cs="Tahoma"/>
          <w:szCs w:val="18"/>
        </w:rPr>
        <w:t>Grantobiorcę</w:t>
      </w:r>
      <w:proofErr w:type="spellEnd"/>
      <w:r w:rsidRPr="001C64EB">
        <w:rPr>
          <w:rFonts w:cs="Tahoma"/>
          <w:szCs w:val="18"/>
        </w:rPr>
        <w:t xml:space="preserve"> refundacji jest przedłożenie prawidłowo wypełnionego, kompletnego oraz spełniającego wymogi formalne, merytoryczne i rachunkowe wniosku o płatność. Wraz z wnioskiem o płatność należy złożyć w formie kopii potwierdzonych za zgodność z oryginałem:</w:t>
      </w:r>
    </w:p>
    <w:p w14:paraId="34D1F22A" w14:textId="19F9FDA7" w:rsidR="00A34B59" w:rsidRPr="001C64EB" w:rsidRDefault="00A34B59" w:rsidP="00707D93">
      <w:pPr>
        <w:pStyle w:val="Akapitzlist"/>
        <w:numPr>
          <w:ilvl w:val="1"/>
          <w:numId w:val="7"/>
        </w:numPr>
        <w:rPr>
          <w:rFonts w:cs="Tahoma"/>
          <w:szCs w:val="18"/>
        </w:rPr>
      </w:pPr>
      <w:r w:rsidRPr="001C64EB">
        <w:rPr>
          <w:rFonts w:cs="Tahoma"/>
          <w:b/>
          <w:szCs w:val="18"/>
        </w:rPr>
        <w:t>Dowód księgowy</w:t>
      </w:r>
      <w:r w:rsidRPr="001C64EB">
        <w:rPr>
          <w:rFonts w:cs="Tahoma"/>
          <w:szCs w:val="18"/>
        </w:rPr>
        <w:t xml:space="preserve"> – potwierdzający wykonanie usług/</w:t>
      </w:r>
      <w:r w:rsidR="00330EED" w:rsidRPr="001C64EB">
        <w:rPr>
          <w:rFonts w:cs="Tahoma"/>
          <w:szCs w:val="18"/>
        </w:rPr>
        <w:t xml:space="preserve"> </w:t>
      </w:r>
      <w:r w:rsidRPr="001C64EB">
        <w:rPr>
          <w:rFonts w:cs="Tahoma"/>
          <w:szCs w:val="18"/>
        </w:rPr>
        <w:t>robót/</w:t>
      </w:r>
      <w:r w:rsidR="00330EED" w:rsidRPr="001C64EB">
        <w:rPr>
          <w:rFonts w:cs="Tahoma"/>
          <w:szCs w:val="18"/>
        </w:rPr>
        <w:t xml:space="preserve"> </w:t>
      </w:r>
      <w:r w:rsidRPr="001C64EB">
        <w:rPr>
          <w:rFonts w:cs="Tahoma"/>
          <w:szCs w:val="18"/>
        </w:rPr>
        <w:t xml:space="preserve">dostawę towaru (faktura, rachunek) na rzecz </w:t>
      </w:r>
      <w:proofErr w:type="spellStart"/>
      <w:r w:rsidRPr="001C64EB">
        <w:rPr>
          <w:rFonts w:cs="Tahoma"/>
          <w:szCs w:val="18"/>
        </w:rPr>
        <w:t>Grantobiorcy</w:t>
      </w:r>
      <w:proofErr w:type="spellEnd"/>
      <w:r w:rsidRPr="001C64EB">
        <w:rPr>
          <w:rFonts w:cs="Tahoma"/>
          <w:szCs w:val="18"/>
        </w:rPr>
        <w:t xml:space="preserve">. </w:t>
      </w:r>
    </w:p>
    <w:p w14:paraId="75440B46" w14:textId="77777777" w:rsidR="00A34B59" w:rsidRPr="001C64EB" w:rsidRDefault="00A34B59" w:rsidP="00707D93">
      <w:pPr>
        <w:pStyle w:val="Akapitzlist"/>
        <w:numPr>
          <w:ilvl w:val="1"/>
          <w:numId w:val="7"/>
        </w:numPr>
        <w:tabs>
          <w:tab w:val="left" w:pos="993"/>
        </w:tabs>
        <w:rPr>
          <w:rFonts w:cs="Tahoma"/>
          <w:szCs w:val="18"/>
        </w:rPr>
      </w:pPr>
      <w:r w:rsidRPr="001C64EB">
        <w:rPr>
          <w:rFonts w:cs="Tahoma"/>
          <w:b/>
          <w:szCs w:val="18"/>
        </w:rPr>
        <w:t>Dowód zapłaty dowodu księgowego</w:t>
      </w:r>
      <w:r w:rsidRPr="001C64EB">
        <w:rPr>
          <w:rFonts w:cs="Tahoma"/>
          <w:b/>
          <w:bCs/>
          <w:szCs w:val="18"/>
        </w:rPr>
        <w:t xml:space="preserve"> </w:t>
      </w:r>
      <w:r w:rsidRPr="001C64EB">
        <w:rPr>
          <w:rFonts w:cs="Tahoma"/>
          <w:szCs w:val="18"/>
        </w:rPr>
        <w:t>(potwierdzenie przelewu, wyciąg bankowy, KP)</w:t>
      </w:r>
      <w:r w:rsidRPr="001C64EB">
        <w:rPr>
          <w:rFonts w:cs="Tahoma"/>
          <w:szCs w:val="18"/>
        </w:rPr>
        <w:br/>
        <w:t xml:space="preserve">Dowód zapłaty nie jest wymagany w przypadku, gdy na dowodzie księgowym widnieje adnotacja świadcząca o tym, że zapłata została uiszczona gotówką (wskazanie gotówki jako sposobu zapłaty nie jest jednoznaczne z uregulowaniem należności z faktury. Na fakturze musi się znaleźć określenie typu „Zapłacono” wraz z określeniem wartości lub „do zapłaty 0,00 zł”. Dopuszcza się także umieszczenie przez sprzedawcę w momencie uiszczenia zapłaty pieczątki „Zapłacono gotówką”). </w:t>
      </w:r>
      <w:r w:rsidRPr="001C64EB">
        <w:rPr>
          <w:rFonts w:cs="Tahoma"/>
          <w:szCs w:val="18"/>
        </w:rPr>
        <w:br/>
      </w:r>
      <w:r w:rsidRPr="001C64EB">
        <w:rPr>
          <w:rFonts w:cs="Tahoma"/>
          <w:b/>
          <w:bCs/>
          <w:szCs w:val="18"/>
        </w:rPr>
        <w:t xml:space="preserve">Uwaga </w:t>
      </w:r>
      <w:r w:rsidRPr="001C64EB">
        <w:rPr>
          <w:rFonts w:cs="Tahoma"/>
          <w:szCs w:val="18"/>
        </w:rPr>
        <w:t xml:space="preserve">- przepisy prawa krajowego (art. 22 ustawy z dnia 2 lipca 2004 r. o swobodzie działalności gospodarczej) regulują próg kwotowy do którego można dokonywać transakcji w gotówce (jeżeli dana transakcja opłacana jest w kliku transzach/ratach – kwotę progową należy odnosić do łącznej ilości dokonanych płatności, a nie do jednej transzy/raty) tj. 15.000 zł </w:t>
      </w:r>
    </w:p>
    <w:p w14:paraId="4E716A59" w14:textId="58B973B7" w:rsidR="00A34B59" w:rsidRPr="001C64EB" w:rsidRDefault="00A34B59" w:rsidP="00707D93">
      <w:pPr>
        <w:pStyle w:val="Akapitzlist"/>
        <w:numPr>
          <w:ilvl w:val="1"/>
          <w:numId w:val="7"/>
        </w:numPr>
        <w:rPr>
          <w:rFonts w:cs="Tahoma"/>
          <w:szCs w:val="18"/>
        </w:rPr>
      </w:pPr>
      <w:r w:rsidRPr="001C64EB">
        <w:rPr>
          <w:rFonts w:cs="Tahoma"/>
          <w:b/>
          <w:szCs w:val="18"/>
        </w:rPr>
        <w:t xml:space="preserve">Dokumenty takie jak np. </w:t>
      </w:r>
      <w:r w:rsidR="00172484" w:rsidRPr="001C64EB">
        <w:rPr>
          <w:rFonts w:cs="Tahoma"/>
          <w:szCs w:val="18"/>
        </w:rPr>
        <w:t xml:space="preserve">protokół zezłomowania i/lub protokół z wizji lokalnej </w:t>
      </w:r>
      <w:r w:rsidRPr="001C64EB">
        <w:rPr>
          <w:rFonts w:cs="Tahoma"/>
          <w:szCs w:val="18"/>
        </w:rPr>
        <w:t>potwierdzając</w:t>
      </w:r>
      <w:r w:rsidR="00172484" w:rsidRPr="001C64EB">
        <w:rPr>
          <w:rFonts w:cs="Tahoma"/>
          <w:szCs w:val="18"/>
        </w:rPr>
        <w:t xml:space="preserve">y </w:t>
      </w:r>
      <w:r w:rsidRPr="001C64EB">
        <w:rPr>
          <w:rFonts w:cs="Tahoma"/>
          <w:szCs w:val="18"/>
        </w:rPr>
        <w:t xml:space="preserve">na piśmie wykonanie obowiązku likwidacji dotychczasowego źródła ciepła (nie dopuszcza się oświadczeń </w:t>
      </w:r>
      <w:proofErr w:type="spellStart"/>
      <w:r w:rsidRPr="001C64EB">
        <w:rPr>
          <w:rFonts w:cs="Tahoma"/>
          <w:szCs w:val="18"/>
        </w:rPr>
        <w:t>Grantobiorcy</w:t>
      </w:r>
      <w:proofErr w:type="spellEnd"/>
      <w:r w:rsidRPr="001C64EB">
        <w:rPr>
          <w:rFonts w:cs="Tahoma"/>
          <w:szCs w:val="18"/>
        </w:rPr>
        <w:t>).</w:t>
      </w:r>
    </w:p>
    <w:p w14:paraId="7009C427" w14:textId="5F218DBD" w:rsidR="00A34B59" w:rsidRPr="001C64EB" w:rsidRDefault="00A34B59" w:rsidP="00707D93">
      <w:pPr>
        <w:pStyle w:val="Akapitzlist"/>
        <w:numPr>
          <w:ilvl w:val="1"/>
          <w:numId w:val="7"/>
        </w:numPr>
        <w:rPr>
          <w:rFonts w:cs="Tahoma"/>
          <w:szCs w:val="18"/>
        </w:rPr>
      </w:pPr>
      <w:r w:rsidRPr="001C64EB">
        <w:rPr>
          <w:rFonts w:cs="Tahoma"/>
          <w:b/>
          <w:szCs w:val="18"/>
        </w:rPr>
        <w:t xml:space="preserve">Protokół poświadczający </w:t>
      </w:r>
      <w:r w:rsidRPr="001C64EB">
        <w:rPr>
          <w:rFonts w:cs="Tahoma"/>
          <w:szCs w:val="18"/>
        </w:rPr>
        <w:t xml:space="preserve">odbiór robót/ usług/ montażu/ podłączenia nowych źródeł ciepła/ </w:t>
      </w:r>
      <w:r w:rsidR="00172484" w:rsidRPr="001C64EB">
        <w:rPr>
          <w:rFonts w:cs="Tahoma"/>
          <w:szCs w:val="18"/>
        </w:rPr>
        <w:t>c.w.u.</w:t>
      </w:r>
    </w:p>
    <w:p w14:paraId="41B6F49E" w14:textId="77777777" w:rsidR="00A34B59" w:rsidRPr="001C64EB" w:rsidRDefault="00A34B59" w:rsidP="00707D93">
      <w:pPr>
        <w:pStyle w:val="Akapitzlist"/>
        <w:numPr>
          <w:ilvl w:val="1"/>
          <w:numId w:val="7"/>
        </w:numPr>
        <w:rPr>
          <w:rFonts w:cs="Tahoma"/>
          <w:szCs w:val="18"/>
        </w:rPr>
      </w:pPr>
      <w:r w:rsidRPr="001C64EB">
        <w:rPr>
          <w:rFonts w:cs="Tahoma"/>
          <w:b/>
          <w:szCs w:val="18"/>
        </w:rPr>
        <w:t>Protokół poświadczający</w:t>
      </w:r>
      <w:r w:rsidRPr="001C64EB">
        <w:rPr>
          <w:rFonts w:cs="Tahoma"/>
          <w:szCs w:val="18"/>
        </w:rPr>
        <w:t xml:space="preserve"> odbiór robót/ usług oraz wystawionego przez certyfikowanego instalatora OZE protokołu montażu/ podłączenia zakupionych urządzeń do produkcji energii elektrycznej. </w:t>
      </w:r>
      <w:r w:rsidRPr="001C64EB">
        <w:rPr>
          <w:rFonts w:cs="Tahoma"/>
          <w:szCs w:val="18"/>
        </w:rPr>
        <w:br/>
        <w:t>Przez uprawnionego instalatora rozumie się osobę posiadającą:</w:t>
      </w:r>
    </w:p>
    <w:p w14:paraId="22D33355" w14:textId="77777777" w:rsidR="00A34B59" w:rsidRPr="001C64EB" w:rsidRDefault="00A34B59" w:rsidP="00707D93">
      <w:pPr>
        <w:pStyle w:val="Akapitzlist"/>
        <w:numPr>
          <w:ilvl w:val="3"/>
          <w:numId w:val="6"/>
        </w:numPr>
        <w:autoSpaceDE w:val="0"/>
        <w:autoSpaceDN w:val="0"/>
        <w:adjustRightInd w:val="0"/>
        <w:ind w:left="1276" w:hanging="283"/>
        <w:rPr>
          <w:rFonts w:cs="Tahoma"/>
          <w:szCs w:val="18"/>
        </w:rPr>
      </w:pPr>
      <w:r w:rsidRPr="001C64EB">
        <w:rPr>
          <w:rFonts w:cs="Tahoma"/>
          <w:szCs w:val="18"/>
        </w:rPr>
        <w:t>ważny certyfikat potwierdzający kwalifikacje do instalowania odnawialnych źródeł energii (art. 136 i art. 145 ustawy o odnawialnych źródłach energii) lub</w:t>
      </w:r>
    </w:p>
    <w:p w14:paraId="1B6506DE" w14:textId="77777777" w:rsidR="00A34B59" w:rsidRPr="001C64EB" w:rsidRDefault="00A34B59" w:rsidP="00707D93">
      <w:pPr>
        <w:pStyle w:val="Akapitzlist"/>
        <w:numPr>
          <w:ilvl w:val="3"/>
          <w:numId w:val="6"/>
        </w:numPr>
        <w:autoSpaceDE w:val="0"/>
        <w:autoSpaceDN w:val="0"/>
        <w:adjustRightInd w:val="0"/>
        <w:ind w:left="1276" w:hanging="283"/>
        <w:rPr>
          <w:rFonts w:cs="Tahoma"/>
          <w:szCs w:val="18"/>
        </w:rPr>
      </w:pPr>
      <w:r w:rsidRPr="001C64EB">
        <w:rPr>
          <w:rFonts w:cs="Tahoma"/>
          <w:szCs w:val="18"/>
        </w:rPr>
        <w:t xml:space="preserve">ważne świadectwo kwalifikacyjne uprawniające do zajmowania się eksploatacją urządzeń, instalacji i sieci lub </w:t>
      </w:r>
    </w:p>
    <w:p w14:paraId="0DC534F7" w14:textId="50432A6A" w:rsidR="00A34B59" w:rsidRPr="001C64EB" w:rsidRDefault="00A34B59" w:rsidP="00707D93">
      <w:pPr>
        <w:pStyle w:val="Akapitzlist"/>
        <w:numPr>
          <w:ilvl w:val="3"/>
          <w:numId w:val="6"/>
        </w:numPr>
        <w:autoSpaceDE w:val="0"/>
        <w:autoSpaceDN w:val="0"/>
        <w:adjustRightInd w:val="0"/>
        <w:ind w:left="1276" w:hanging="283"/>
        <w:rPr>
          <w:rFonts w:cs="Tahoma"/>
          <w:szCs w:val="18"/>
        </w:rPr>
      </w:pPr>
      <w:r w:rsidRPr="001C64EB">
        <w:rPr>
          <w:rFonts w:cs="Tahoma"/>
          <w:szCs w:val="18"/>
        </w:rPr>
        <w:t>uprawnienia budowlane w specjalności instalacyjnej w zakresie sieci, instalacji i urządzeń elektrycznych i elektroenergetycznych</w:t>
      </w:r>
      <w:r w:rsidR="00172484" w:rsidRPr="001C64EB">
        <w:rPr>
          <w:rFonts w:cs="Tahoma"/>
          <w:szCs w:val="18"/>
        </w:rPr>
        <w:t xml:space="preserve"> lub</w:t>
      </w:r>
    </w:p>
    <w:p w14:paraId="618D91B0" w14:textId="77777777" w:rsidR="00A34B59" w:rsidRPr="001C64EB" w:rsidRDefault="00A34B59" w:rsidP="00707D93">
      <w:pPr>
        <w:pStyle w:val="Akapitzlist"/>
        <w:numPr>
          <w:ilvl w:val="3"/>
          <w:numId w:val="6"/>
        </w:numPr>
        <w:autoSpaceDE w:val="0"/>
        <w:autoSpaceDN w:val="0"/>
        <w:adjustRightInd w:val="0"/>
        <w:ind w:left="1276" w:hanging="283"/>
        <w:rPr>
          <w:rFonts w:cs="Tahoma"/>
          <w:szCs w:val="18"/>
        </w:rPr>
      </w:pPr>
      <w:r w:rsidRPr="001C64EB">
        <w:rPr>
          <w:rFonts w:cs="Tahoma"/>
          <w:szCs w:val="18"/>
        </w:rPr>
        <w:t>uprawnienia budowlane w specjalności instalacyjnej w zakresie sieci, instalacji i urządzeń gazowych.</w:t>
      </w:r>
    </w:p>
    <w:p w14:paraId="0F1B025A" w14:textId="77777777" w:rsidR="00A34B59" w:rsidRPr="001C64EB" w:rsidRDefault="00A34B59" w:rsidP="00707D93">
      <w:pPr>
        <w:pStyle w:val="Akapitzlist"/>
        <w:numPr>
          <w:ilvl w:val="1"/>
          <w:numId w:val="7"/>
        </w:numPr>
        <w:rPr>
          <w:rFonts w:cs="Tahoma"/>
          <w:szCs w:val="18"/>
        </w:rPr>
      </w:pPr>
      <w:r w:rsidRPr="001C64EB">
        <w:rPr>
          <w:rFonts w:cs="Tahoma"/>
          <w:b/>
          <w:szCs w:val="18"/>
        </w:rPr>
        <w:t>Umowę</w:t>
      </w:r>
      <w:r w:rsidRPr="001C64EB">
        <w:rPr>
          <w:rFonts w:cs="Tahoma"/>
          <w:szCs w:val="18"/>
        </w:rPr>
        <w:t xml:space="preserve"> zawartą pomiędzy </w:t>
      </w:r>
      <w:proofErr w:type="spellStart"/>
      <w:r w:rsidRPr="001C64EB">
        <w:rPr>
          <w:rFonts w:cs="Tahoma"/>
          <w:szCs w:val="18"/>
        </w:rPr>
        <w:t>Grantobiorcą</w:t>
      </w:r>
      <w:proofErr w:type="spellEnd"/>
      <w:r w:rsidRPr="001C64EB">
        <w:rPr>
          <w:rFonts w:cs="Tahoma"/>
          <w:szCs w:val="18"/>
        </w:rPr>
        <w:t xml:space="preserve"> a wykonawcą wraz z ewentualnymi aneksami.</w:t>
      </w:r>
    </w:p>
    <w:p w14:paraId="1A360260" w14:textId="77777777" w:rsidR="00A34B59" w:rsidRPr="001C64EB" w:rsidRDefault="00A34B59" w:rsidP="00707D93">
      <w:pPr>
        <w:pStyle w:val="Akapitzlist"/>
        <w:numPr>
          <w:ilvl w:val="1"/>
          <w:numId w:val="7"/>
        </w:numPr>
        <w:rPr>
          <w:rFonts w:cs="Tahoma"/>
          <w:szCs w:val="18"/>
        </w:rPr>
      </w:pPr>
      <w:r w:rsidRPr="001C64EB">
        <w:rPr>
          <w:rFonts w:cs="Tahoma"/>
          <w:b/>
          <w:szCs w:val="18"/>
        </w:rPr>
        <w:t xml:space="preserve">Dokumenty w zakresie wyboru wykonawcy </w:t>
      </w:r>
      <w:r w:rsidRPr="001C64EB">
        <w:rPr>
          <w:rFonts w:cs="Tahoma"/>
          <w:szCs w:val="18"/>
        </w:rPr>
        <w:t>np. rozeznanie ofertowe tj. oferty od minimum trzech wykonawców, wydruki ze stron internetowych.</w:t>
      </w:r>
    </w:p>
    <w:p w14:paraId="2505E1E3" w14:textId="77777777" w:rsidR="00A34B59" w:rsidRPr="001C64EB" w:rsidRDefault="00A34B59" w:rsidP="00707D93">
      <w:pPr>
        <w:pStyle w:val="Akapitzlist"/>
        <w:numPr>
          <w:ilvl w:val="1"/>
          <w:numId w:val="7"/>
        </w:numPr>
        <w:rPr>
          <w:rFonts w:cs="Tahoma"/>
          <w:szCs w:val="18"/>
        </w:rPr>
      </w:pPr>
      <w:r w:rsidRPr="001C64EB">
        <w:rPr>
          <w:rFonts w:cs="Tahoma"/>
          <w:b/>
          <w:szCs w:val="18"/>
        </w:rPr>
        <w:t>Umowy na podłączenie do sieci</w:t>
      </w:r>
      <w:r w:rsidRPr="001C64EB">
        <w:rPr>
          <w:rFonts w:cs="Tahoma"/>
          <w:szCs w:val="18"/>
        </w:rPr>
        <w:t xml:space="preserve"> wraz z ewentualnymi aneksami.</w:t>
      </w:r>
    </w:p>
    <w:p w14:paraId="6DB7801A" w14:textId="27EA7E60" w:rsidR="00A34B59" w:rsidRPr="001C64EB" w:rsidRDefault="00A34B59" w:rsidP="00707D93">
      <w:pPr>
        <w:pStyle w:val="Akapitzlist"/>
        <w:numPr>
          <w:ilvl w:val="1"/>
          <w:numId w:val="7"/>
        </w:numPr>
        <w:rPr>
          <w:rFonts w:cs="Tahoma"/>
          <w:szCs w:val="18"/>
        </w:rPr>
      </w:pPr>
      <w:r w:rsidRPr="001C64EB">
        <w:rPr>
          <w:rFonts w:cs="Tahoma"/>
          <w:b/>
          <w:szCs w:val="18"/>
        </w:rPr>
        <w:t>Inne dokumenty</w:t>
      </w:r>
      <w:r w:rsidR="00720F1D" w:rsidRPr="001C64EB">
        <w:rPr>
          <w:rFonts w:cs="Tahoma"/>
          <w:b/>
          <w:szCs w:val="18"/>
        </w:rPr>
        <w:t xml:space="preserve"> specyficzne dla inwestycji</w:t>
      </w:r>
      <w:r w:rsidRPr="001C64EB">
        <w:rPr>
          <w:rFonts w:cs="Tahoma"/>
          <w:b/>
          <w:szCs w:val="18"/>
        </w:rPr>
        <w:t xml:space="preserve"> </w:t>
      </w:r>
      <w:r w:rsidRPr="001C64EB">
        <w:rPr>
          <w:rFonts w:cs="Tahoma"/>
          <w:szCs w:val="18"/>
        </w:rPr>
        <w:t>dopuszczające instalacje/ urządzenia do użytku oraz montażu na terenie RP  formie kopii poświadczonej za zgodność z oryginałem przez Wykonawcę – jeśli dotyczy.</w:t>
      </w:r>
    </w:p>
    <w:p w14:paraId="33BA5FF4" w14:textId="77777777" w:rsidR="00A34B59" w:rsidRPr="001C64EB" w:rsidRDefault="00A34B59" w:rsidP="00707D93">
      <w:pPr>
        <w:pStyle w:val="Akapitzlist"/>
        <w:numPr>
          <w:ilvl w:val="1"/>
          <w:numId w:val="7"/>
        </w:numPr>
        <w:rPr>
          <w:rFonts w:cs="Tahoma"/>
          <w:b/>
          <w:szCs w:val="18"/>
        </w:rPr>
      </w:pPr>
      <w:r w:rsidRPr="001C64EB">
        <w:rPr>
          <w:rFonts w:cs="Tahoma"/>
          <w:b/>
          <w:szCs w:val="18"/>
        </w:rPr>
        <w:t>Obowiązkowa opinia kominiarska w przypadku ogrzewania gazowego.</w:t>
      </w:r>
    </w:p>
    <w:p w14:paraId="0FFFECE2" w14:textId="77777777" w:rsidR="00A34B59" w:rsidRPr="001C64EB" w:rsidRDefault="00A34B59" w:rsidP="00707D93">
      <w:pPr>
        <w:pStyle w:val="Akapitzlist"/>
        <w:numPr>
          <w:ilvl w:val="1"/>
          <w:numId w:val="7"/>
        </w:numPr>
        <w:rPr>
          <w:rFonts w:cs="Tahoma"/>
          <w:b/>
          <w:szCs w:val="18"/>
        </w:rPr>
      </w:pPr>
      <w:r w:rsidRPr="001C64EB">
        <w:rPr>
          <w:rFonts w:cs="Tahoma"/>
          <w:szCs w:val="18"/>
        </w:rPr>
        <w:t>Zgłoszenie robót lub pozwolenia na budowę – jeśli dotyczy.</w:t>
      </w:r>
    </w:p>
    <w:p w14:paraId="682F5A63" w14:textId="77777777" w:rsidR="00A34B59" w:rsidRPr="001C64EB" w:rsidRDefault="00A34B59" w:rsidP="00707D93">
      <w:pPr>
        <w:pStyle w:val="Akapitzlist"/>
        <w:numPr>
          <w:ilvl w:val="1"/>
          <w:numId w:val="7"/>
        </w:numPr>
        <w:rPr>
          <w:rFonts w:cs="Tahoma"/>
          <w:b/>
          <w:szCs w:val="18"/>
        </w:rPr>
      </w:pPr>
      <w:r w:rsidRPr="001C64EB">
        <w:rPr>
          <w:rFonts w:cs="Tahoma"/>
          <w:szCs w:val="18"/>
        </w:rPr>
        <w:t>Pozytywna opinia konserwatora zabytków – jeśli dotyczy.</w:t>
      </w:r>
    </w:p>
    <w:p w14:paraId="7BAB8252" w14:textId="727AFC15" w:rsidR="00A34B59" w:rsidRPr="001C64EB" w:rsidRDefault="00A34B59" w:rsidP="00707D93">
      <w:pPr>
        <w:pStyle w:val="Akapitzlist"/>
        <w:numPr>
          <w:ilvl w:val="1"/>
          <w:numId w:val="7"/>
        </w:numPr>
        <w:rPr>
          <w:rFonts w:cs="Tahoma"/>
          <w:b/>
          <w:szCs w:val="18"/>
        </w:rPr>
      </w:pPr>
      <w:r w:rsidRPr="001C64EB">
        <w:rPr>
          <w:rFonts w:cs="Tahoma"/>
          <w:b/>
          <w:szCs w:val="18"/>
        </w:rPr>
        <w:t>Dokumentacja zdjęciowa</w:t>
      </w:r>
      <w:r w:rsidRPr="001C64EB">
        <w:rPr>
          <w:rFonts w:cs="Tahoma"/>
          <w:szCs w:val="18"/>
        </w:rPr>
        <w:t xml:space="preserve"> (przed i po montażu)</w:t>
      </w:r>
      <w:r w:rsidR="00172484" w:rsidRPr="001C64EB">
        <w:rPr>
          <w:rFonts w:cs="Tahoma"/>
          <w:szCs w:val="18"/>
        </w:rPr>
        <w:t>.</w:t>
      </w:r>
    </w:p>
    <w:p w14:paraId="2404B8D4" w14:textId="7570E601" w:rsidR="00A71555" w:rsidRPr="001C64EB" w:rsidRDefault="00A71555" w:rsidP="00A71555">
      <w:pPr>
        <w:pStyle w:val="Akapitzlist"/>
        <w:numPr>
          <w:ilvl w:val="1"/>
          <w:numId w:val="7"/>
        </w:numPr>
        <w:rPr>
          <w:rFonts w:cs="Tahoma"/>
          <w:szCs w:val="18"/>
        </w:rPr>
      </w:pPr>
      <w:r w:rsidRPr="001C64EB">
        <w:rPr>
          <w:rFonts w:cs="Tahoma"/>
          <w:szCs w:val="18"/>
        </w:rPr>
        <w:t xml:space="preserve">płytę CD z nagranymi skanami oryginałów dokumentów wymienionych w </w:t>
      </w:r>
      <w:proofErr w:type="spellStart"/>
      <w:r w:rsidRPr="001C64EB">
        <w:rPr>
          <w:rFonts w:cs="Tahoma"/>
          <w:szCs w:val="18"/>
        </w:rPr>
        <w:t>ppkt</w:t>
      </w:r>
      <w:proofErr w:type="spellEnd"/>
      <w:r w:rsidRPr="001C64EB">
        <w:rPr>
          <w:rFonts w:cs="Tahoma"/>
          <w:szCs w:val="18"/>
        </w:rPr>
        <w:t xml:space="preserve"> 4.1, 4.2 i 4.3.</w:t>
      </w:r>
    </w:p>
    <w:p w14:paraId="7DB37560" w14:textId="77777777" w:rsidR="00A34B59" w:rsidRPr="001C64EB" w:rsidRDefault="00A34B59" w:rsidP="00707D93">
      <w:pPr>
        <w:pStyle w:val="Akapitzlist"/>
        <w:numPr>
          <w:ilvl w:val="0"/>
          <w:numId w:val="7"/>
        </w:numPr>
        <w:rPr>
          <w:rFonts w:cs="Tahoma"/>
          <w:szCs w:val="18"/>
        </w:rPr>
      </w:pPr>
      <w:r w:rsidRPr="001C64EB">
        <w:rPr>
          <w:rFonts w:cs="Tahoma"/>
          <w:szCs w:val="18"/>
        </w:rPr>
        <w:lastRenderedPageBreak/>
        <w:t xml:space="preserve">Do wniosku o płatność należy załączyć oryginały oświadczeń podpisanych przez </w:t>
      </w:r>
      <w:proofErr w:type="spellStart"/>
      <w:r w:rsidRPr="001C64EB">
        <w:rPr>
          <w:rFonts w:cs="Tahoma"/>
          <w:szCs w:val="18"/>
        </w:rPr>
        <w:t>Grantobiorcę</w:t>
      </w:r>
      <w:proofErr w:type="spellEnd"/>
      <w:r w:rsidRPr="001C64EB">
        <w:rPr>
          <w:rFonts w:cs="Tahoma"/>
          <w:szCs w:val="18"/>
        </w:rPr>
        <w:t xml:space="preserve"> w zakresie: </w:t>
      </w:r>
    </w:p>
    <w:p w14:paraId="68AAF229" w14:textId="77777777" w:rsidR="00A34B59" w:rsidRPr="001C64EB" w:rsidRDefault="00A34B59" w:rsidP="00707D93">
      <w:pPr>
        <w:pStyle w:val="Akapitzlist"/>
        <w:numPr>
          <w:ilvl w:val="1"/>
          <w:numId w:val="7"/>
        </w:numPr>
        <w:rPr>
          <w:rFonts w:cs="Tahoma"/>
          <w:szCs w:val="18"/>
        </w:rPr>
      </w:pPr>
      <w:r w:rsidRPr="001C64EB">
        <w:rPr>
          <w:rFonts w:cs="Tahoma"/>
          <w:szCs w:val="18"/>
        </w:rPr>
        <w:t>poniesienia wydatków w sposób oszczędny, tzn. niezawyżony w stosunku do średnich cen i stawek rynkowych i spełniający wymogi uzyskiwania najlepszych efektów z danych nakładów</w:t>
      </w:r>
    </w:p>
    <w:p w14:paraId="01190CB4" w14:textId="77777777" w:rsidR="00A34B59" w:rsidRPr="001C64EB" w:rsidRDefault="00A34B59" w:rsidP="00707D93">
      <w:pPr>
        <w:pStyle w:val="Akapitzlist"/>
        <w:numPr>
          <w:ilvl w:val="1"/>
          <w:numId w:val="7"/>
        </w:numPr>
        <w:rPr>
          <w:rFonts w:cs="Tahoma"/>
          <w:szCs w:val="18"/>
        </w:rPr>
      </w:pPr>
      <w:r w:rsidRPr="001C64EB">
        <w:rPr>
          <w:rFonts w:cs="Tahoma"/>
          <w:szCs w:val="18"/>
        </w:rPr>
        <w:t>braku wystąpienia podwójnego dofinansowania wydatków (dofinansowania tego samego zakresu inwestycji)</w:t>
      </w:r>
    </w:p>
    <w:p w14:paraId="390907E5" w14:textId="77777777" w:rsidR="00A34B59" w:rsidRPr="001C64EB" w:rsidRDefault="00A34B59" w:rsidP="00707D93">
      <w:pPr>
        <w:pStyle w:val="Akapitzlist"/>
        <w:numPr>
          <w:ilvl w:val="1"/>
          <w:numId w:val="7"/>
        </w:numPr>
        <w:rPr>
          <w:rFonts w:cs="Tahoma"/>
          <w:szCs w:val="18"/>
        </w:rPr>
      </w:pPr>
      <w:r w:rsidRPr="001C64EB">
        <w:rPr>
          <w:rFonts w:cs="Tahoma"/>
          <w:szCs w:val="18"/>
        </w:rPr>
        <w:t xml:space="preserve">prawnej możliwości odzyskania podatku VAT – dotyczy tych </w:t>
      </w:r>
      <w:proofErr w:type="spellStart"/>
      <w:r w:rsidRPr="001C64EB">
        <w:rPr>
          <w:rFonts w:cs="Tahoma"/>
          <w:szCs w:val="18"/>
        </w:rPr>
        <w:t>Grantobiorców</w:t>
      </w:r>
      <w:proofErr w:type="spellEnd"/>
      <w:r w:rsidRPr="001C64EB">
        <w:rPr>
          <w:rFonts w:cs="Tahoma"/>
          <w:szCs w:val="18"/>
        </w:rPr>
        <w:t>, którzy prowadzą działalność gospodarczą na którą ma wpływ udzielone wsparcie</w:t>
      </w:r>
    </w:p>
    <w:p w14:paraId="2A80A001" w14:textId="77777777" w:rsidR="00A34B59" w:rsidRPr="001C64EB" w:rsidRDefault="00A34B59" w:rsidP="00707D93">
      <w:pPr>
        <w:pStyle w:val="Akapitzlist"/>
        <w:numPr>
          <w:ilvl w:val="1"/>
          <w:numId w:val="7"/>
        </w:numPr>
        <w:rPr>
          <w:rFonts w:cs="Tahoma"/>
          <w:szCs w:val="18"/>
        </w:rPr>
      </w:pPr>
      <w:r w:rsidRPr="001C64EB">
        <w:rPr>
          <w:rFonts w:cs="Tahoma"/>
          <w:szCs w:val="18"/>
        </w:rPr>
        <w:t xml:space="preserve">wysokości dotychczas udzielonej pomocy de </w:t>
      </w:r>
      <w:proofErr w:type="spellStart"/>
      <w:r w:rsidRPr="001C64EB">
        <w:rPr>
          <w:rFonts w:cs="Tahoma"/>
          <w:szCs w:val="18"/>
        </w:rPr>
        <w:t>minimis</w:t>
      </w:r>
      <w:proofErr w:type="spellEnd"/>
    </w:p>
    <w:p w14:paraId="23871411" w14:textId="77777777" w:rsidR="00A34B59" w:rsidRPr="001C64EB" w:rsidRDefault="00A34B59" w:rsidP="00707D93">
      <w:pPr>
        <w:pStyle w:val="Akapitzlist"/>
        <w:numPr>
          <w:ilvl w:val="1"/>
          <w:numId w:val="7"/>
        </w:numPr>
        <w:rPr>
          <w:rFonts w:cs="Tahoma"/>
          <w:szCs w:val="18"/>
        </w:rPr>
      </w:pPr>
      <w:r w:rsidRPr="001C64EB">
        <w:rPr>
          <w:rFonts w:cs="Tahoma"/>
          <w:szCs w:val="18"/>
        </w:rPr>
        <w:t>prawa własności do lokalu/nieruchomości</w:t>
      </w:r>
    </w:p>
    <w:p w14:paraId="10199184" w14:textId="77777777" w:rsidR="00A34B59" w:rsidRPr="001C64EB" w:rsidRDefault="00A34B59" w:rsidP="00707D93">
      <w:pPr>
        <w:pStyle w:val="Akapitzlist"/>
        <w:numPr>
          <w:ilvl w:val="0"/>
          <w:numId w:val="7"/>
        </w:numPr>
        <w:rPr>
          <w:rFonts w:cs="Tahoma"/>
          <w:szCs w:val="18"/>
        </w:rPr>
      </w:pPr>
      <w:proofErr w:type="spellStart"/>
      <w:r w:rsidRPr="001C64EB">
        <w:rPr>
          <w:rFonts w:cs="Tahoma"/>
          <w:szCs w:val="18"/>
        </w:rPr>
        <w:t>Grantodawca</w:t>
      </w:r>
      <w:proofErr w:type="spellEnd"/>
      <w:r w:rsidRPr="001C64EB">
        <w:rPr>
          <w:rFonts w:cs="Tahoma"/>
          <w:szCs w:val="18"/>
        </w:rPr>
        <w:t xml:space="preserve"> ma prawo zażądać od </w:t>
      </w:r>
      <w:proofErr w:type="spellStart"/>
      <w:r w:rsidRPr="001C64EB">
        <w:rPr>
          <w:rFonts w:cs="Tahoma"/>
          <w:szCs w:val="18"/>
        </w:rPr>
        <w:t>Grantobiorcy</w:t>
      </w:r>
      <w:proofErr w:type="spellEnd"/>
      <w:r w:rsidRPr="001C64EB">
        <w:rPr>
          <w:rFonts w:cs="Tahoma"/>
          <w:szCs w:val="18"/>
        </w:rPr>
        <w:t xml:space="preserve"> złożenia uzupełnień bądź wyjaśnień dotyczących Wniosku o wypłatę Grantu oraz innych dokumentów, a </w:t>
      </w:r>
      <w:proofErr w:type="spellStart"/>
      <w:r w:rsidRPr="001C64EB">
        <w:rPr>
          <w:rFonts w:cs="Tahoma"/>
          <w:szCs w:val="18"/>
        </w:rPr>
        <w:t>Grantobiorca</w:t>
      </w:r>
      <w:proofErr w:type="spellEnd"/>
      <w:r w:rsidRPr="001C64EB">
        <w:rPr>
          <w:rFonts w:cs="Tahoma"/>
          <w:szCs w:val="18"/>
        </w:rPr>
        <w:t xml:space="preserve"> jest zobowiązany do dokonania niezbędnych wyjaśnień lub uzupełnień bez zbędnej zwłoki, nie później niż w terminie 7 dni roboczych od daty otrzymania wezwania. </w:t>
      </w:r>
    </w:p>
    <w:p w14:paraId="3FF0376A" w14:textId="7DFD9989" w:rsidR="00A34B59" w:rsidRPr="001C64EB" w:rsidRDefault="00A34B59" w:rsidP="00707D93">
      <w:pPr>
        <w:pStyle w:val="Akapitzlist"/>
        <w:numPr>
          <w:ilvl w:val="0"/>
          <w:numId w:val="7"/>
        </w:numPr>
        <w:rPr>
          <w:rFonts w:cs="Tahoma"/>
          <w:szCs w:val="18"/>
        </w:rPr>
      </w:pPr>
      <w:proofErr w:type="spellStart"/>
      <w:r w:rsidRPr="001C64EB">
        <w:rPr>
          <w:rFonts w:cs="Tahoma"/>
          <w:szCs w:val="18"/>
        </w:rPr>
        <w:t>Grantodawca</w:t>
      </w:r>
      <w:proofErr w:type="spellEnd"/>
      <w:r w:rsidRPr="001C64EB">
        <w:rPr>
          <w:rFonts w:cs="Tahoma"/>
          <w:szCs w:val="18"/>
        </w:rPr>
        <w:t xml:space="preserve"> przed przekazaniem środków </w:t>
      </w:r>
      <w:proofErr w:type="spellStart"/>
      <w:r w:rsidRPr="001C64EB">
        <w:rPr>
          <w:rFonts w:cs="Tahoma"/>
          <w:szCs w:val="18"/>
        </w:rPr>
        <w:t>Grantobiorcy</w:t>
      </w:r>
      <w:proofErr w:type="spellEnd"/>
      <w:r w:rsidRPr="001C64EB">
        <w:rPr>
          <w:rFonts w:cs="Tahoma"/>
          <w:szCs w:val="18"/>
        </w:rPr>
        <w:t xml:space="preserve">, w czasie do </w:t>
      </w:r>
      <w:r w:rsidR="004E199D" w:rsidRPr="001C64EB">
        <w:rPr>
          <w:rFonts w:cs="Tahoma"/>
          <w:szCs w:val="18"/>
        </w:rPr>
        <w:t>3</w:t>
      </w:r>
      <w:r w:rsidRPr="001C64EB">
        <w:rPr>
          <w:rFonts w:cs="Tahoma"/>
          <w:szCs w:val="18"/>
        </w:rPr>
        <w:t xml:space="preserve">0 dni kalendarzowych, zweryfikuje przedłożone przez </w:t>
      </w:r>
      <w:proofErr w:type="spellStart"/>
      <w:r w:rsidRPr="001C64EB">
        <w:rPr>
          <w:rFonts w:cs="Tahoma"/>
          <w:szCs w:val="18"/>
        </w:rPr>
        <w:t>Grantobiorcę</w:t>
      </w:r>
      <w:proofErr w:type="spellEnd"/>
      <w:r w:rsidRPr="001C64EB">
        <w:rPr>
          <w:rFonts w:cs="Tahoma"/>
          <w:szCs w:val="18"/>
        </w:rPr>
        <w:t xml:space="preserve"> dokumenty pod kątem sprawdzenia:</w:t>
      </w:r>
    </w:p>
    <w:p w14:paraId="7D8ABBC4" w14:textId="77777777" w:rsidR="00A34B59" w:rsidRPr="001C64EB" w:rsidRDefault="00A34B59" w:rsidP="00707D93">
      <w:pPr>
        <w:pStyle w:val="Akapitzlist"/>
        <w:numPr>
          <w:ilvl w:val="1"/>
          <w:numId w:val="7"/>
        </w:numPr>
        <w:rPr>
          <w:rFonts w:cs="Tahoma"/>
          <w:szCs w:val="18"/>
        </w:rPr>
      </w:pPr>
      <w:r w:rsidRPr="001C64EB">
        <w:rPr>
          <w:rFonts w:cs="Tahoma"/>
          <w:szCs w:val="18"/>
        </w:rPr>
        <w:t xml:space="preserve">Czy produkty i usługi, które zostaną objęte wsparciem zostały dostarczone </w:t>
      </w:r>
      <w:proofErr w:type="spellStart"/>
      <w:r w:rsidRPr="001C64EB">
        <w:rPr>
          <w:rFonts w:cs="Tahoma"/>
          <w:szCs w:val="18"/>
        </w:rPr>
        <w:t>Grantobiorcy</w:t>
      </w:r>
      <w:proofErr w:type="spellEnd"/>
    </w:p>
    <w:p w14:paraId="4E523B60" w14:textId="77777777" w:rsidR="00A34B59" w:rsidRPr="001C64EB" w:rsidRDefault="00A34B59" w:rsidP="00707D93">
      <w:pPr>
        <w:pStyle w:val="Akapitzlist"/>
        <w:numPr>
          <w:ilvl w:val="1"/>
          <w:numId w:val="7"/>
        </w:numPr>
        <w:rPr>
          <w:rFonts w:cs="Tahoma"/>
          <w:szCs w:val="18"/>
        </w:rPr>
      </w:pPr>
      <w:r w:rsidRPr="001C64EB">
        <w:rPr>
          <w:rFonts w:cs="Tahoma"/>
          <w:szCs w:val="18"/>
        </w:rPr>
        <w:t xml:space="preserve">Czy wydatki deklarowane przez </w:t>
      </w:r>
      <w:proofErr w:type="spellStart"/>
      <w:r w:rsidRPr="001C64EB">
        <w:rPr>
          <w:rFonts w:cs="Tahoma"/>
          <w:szCs w:val="18"/>
        </w:rPr>
        <w:t>Grantobiorcę</w:t>
      </w:r>
      <w:proofErr w:type="spellEnd"/>
      <w:r w:rsidRPr="001C64EB">
        <w:rPr>
          <w:rFonts w:cs="Tahoma"/>
          <w:szCs w:val="18"/>
        </w:rPr>
        <w:t xml:space="preserve"> zostały poniesione</w:t>
      </w:r>
    </w:p>
    <w:p w14:paraId="43BC9E60" w14:textId="77777777" w:rsidR="00A34B59" w:rsidRPr="001C64EB" w:rsidRDefault="00A34B59" w:rsidP="00707D93">
      <w:pPr>
        <w:pStyle w:val="Akapitzlist"/>
        <w:numPr>
          <w:ilvl w:val="1"/>
          <w:numId w:val="7"/>
        </w:numPr>
        <w:rPr>
          <w:rFonts w:cs="Tahoma"/>
          <w:szCs w:val="18"/>
        </w:rPr>
      </w:pPr>
      <w:r w:rsidRPr="001C64EB">
        <w:rPr>
          <w:rFonts w:cs="Tahoma"/>
          <w:szCs w:val="18"/>
        </w:rPr>
        <w:t xml:space="preserve">Czy spełniają one wymogi stawiane przez obowiązujące przepisy prawa, wymagania Regionalnego Programu Operacyjnego Województwa Dolnośląskiego 2014-2020 i warunki wsparcia. </w:t>
      </w:r>
    </w:p>
    <w:p w14:paraId="3614B42C" w14:textId="77777777" w:rsidR="00A34B59" w:rsidRPr="001C64EB" w:rsidRDefault="00A34B59" w:rsidP="00707D93">
      <w:pPr>
        <w:pStyle w:val="Akapitzlist"/>
        <w:numPr>
          <w:ilvl w:val="0"/>
          <w:numId w:val="7"/>
        </w:numPr>
        <w:rPr>
          <w:rFonts w:cs="Tahoma"/>
          <w:szCs w:val="18"/>
        </w:rPr>
      </w:pPr>
      <w:r w:rsidRPr="001C64EB">
        <w:rPr>
          <w:rFonts w:cs="Tahoma"/>
          <w:szCs w:val="18"/>
        </w:rPr>
        <w:t xml:space="preserve">Weryfikacja będzie miała także charakter wizji lokalnej </w:t>
      </w:r>
      <w:r w:rsidRPr="001C64EB">
        <w:t xml:space="preserve">potwierdzającej na piśmie wykonanie obowiązku likwidacji dotychczasowego źródła ciepła i podczas której </w:t>
      </w:r>
      <w:r w:rsidRPr="001C64EB">
        <w:rPr>
          <w:rFonts w:cs="Tahoma"/>
          <w:szCs w:val="18"/>
        </w:rPr>
        <w:t xml:space="preserve">wykonana zostanie dokumentacja fotograficzna. </w:t>
      </w:r>
    </w:p>
    <w:p w14:paraId="5350DA05" w14:textId="77777777" w:rsidR="00A34B59" w:rsidRPr="001C64EB" w:rsidRDefault="00A34B59" w:rsidP="00707D93">
      <w:pPr>
        <w:pStyle w:val="Akapitzlist"/>
        <w:numPr>
          <w:ilvl w:val="0"/>
          <w:numId w:val="7"/>
        </w:numPr>
        <w:rPr>
          <w:rFonts w:cs="Tahoma"/>
          <w:szCs w:val="18"/>
        </w:rPr>
      </w:pPr>
      <w:r w:rsidRPr="001C64EB">
        <w:rPr>
          <w:rFonts w:cs="Tahoma"/>
          <w:szCs w:val="18"/>
        </w:rPr>
        <w:t>Warunkiem wypłaty Grantu jest pozytywna weryfikacja przedłożonych dokumentów oraz pozytywnie zaopiniowany protokół z wizji lokalnej.</w:t>
      </w:r>
    </w:p>
    <w:p w14:paraId="34FD606C" w14:textId="77777777" w:rsidR="00A34B59" w:rsidRPr="001C64EB" w:rsidRDefault="00A34B59" w:rsidP="00707D93">
      <w:pPr>
        <w:pStyle w:val="Akapitzlist"/>
        <w:numPr>
          <w:ilvl w:val="0"/>
          <w:numId w:val="7"/>
        </w:numPr>
        <w:rPr>
          <w:rFonts w:cs="Tahoma"/>
          <w:szCs w:val="18"/>
        </w:rPr>
      </w:pPr>
      <w:r w:rsidRPr="001C64EB">
        <w:rPr>
          <w:rFonts w:cs="Tahoma"/>
          <w:szCs w:val="18"/>
        </w:rPr>
        <w:t xml:space="preserve">Granty przekazywane są </w:t>
      </w:r>
      <w:proofErr w:type="spellStart"/>
      <w:r w:rsidRPr="001C64EB">
        <w:rPr>
          <w:rFonts w:cs="Tahoma"/>
          <w:szCs w:val="18"/>
        </w:rPr>
        <w:t>Grantobiorcy</w:t>
      </w:r>
      <w:proofErr w:type="spellEnd"/>
      <w:r w:rsidRPr="001C64EB">
        <w:rPr>
          <w:rFonts w:cs="Tahoma"/>
          <w:szCs w:val="18"/>
        </w:rPr>
        <w:t xml:space="preserve"> wyłącznie w formie refundacji. </w:t>
      </w:r>
    </w:p>
    <w:p w14:paraId="7768CC13" w14:textId="32012A3E" w:rsidR="00A34B59" w:rsidRPr="001C64EB" w:rsidRDefault="00A34B59" w:rsidP="00707D93">
      <w:pPr>
        <w:pStyle w:val="Akapitzlist"/>
        <w:numPr>
          <w:ilvl w:val="0"/>
          <w:numId w:val="7"/>
        </w:numPr>
        <w:rPr>
          <w:rFonts w:cs="Tahoma"/>
          <w:szCs w:val="18"/>
        </w:rPr>
      </w:pPr>
      <w:r w:rsidRPr="001C64EB">
        <w:rPr>
          <w:rFonts w:cs="Tahoma"/>
          <w:szCs w:val="18"/>
        </w:rPr>
        <w:t xml:space="preserve">Przekazanie Grantu następuje bezpośrednio na rachunek bankowy wskazany przez </w:t>
      </w:r>
      <w:proofErr w:type="spellStart"/>
      <w:r w:rsidRPr="001C64EB">
        <w:rPr>
          <w:rFonts w:cs="Tahoma"/>
          <w:szCs w:val="18"/>
        </w:rPr>
        <w:t>Grantobiorcę</w:t>
      </w:r>
      <w:proofErr w:type="spellEnd"/>
      <w:r w:rsidRPr="001C64EB">
        <w:rPr>
          <w:rFonts w:cs="Tahoma"/>
          <w:szCs w:val="18"/>
        </w:rPr>
        <w:t xml:space="preserve"> w umowie o powierzenie Grantu w terminie 30 dni kalendarzowych. Termin liczony jest od dnia następnego po dniu, w którym nastąpiła pozytywna weryfikacja dokumentów zgodnie z pkt </w:t>
      </w:r>
      <w:r w:rsidR="00E17D18" w:rsidRPr="001C64EB">
        <w:rPr>
          <w:rFonts w:cs="Tahoma"/>
          <w:szCs w:val="18"/>
        </w:rPr>
        <w:t>9</w:t>
      </w:r>
      <w:r w:rsidRPr="001C64EB">
        <w:rPr>
          <w:rFonts w:cs="Tahoma"/>
          <w:szCs w:val="18"/>
        </w:rPr>
        <w:t>.</w:t>
      </w:r>
    </w:p>
    <w:p w14:paraId="1B01802F" w14:textId="77777777" w:rsidR="00A34B59" w:rsidRPr="001C64EB" w:rsidRDefault="00A34B59" w:rsidP="00707D93">
      <w:pPr>
        <w:pStyle w:val="Akapitzlist"/>
        <w:numPr>
          <w:ilvl w:val="0"/>
          <w:numId w:val="7"/>
        </w:numPr>
        <w:rPr>
          <w:rFonts w:cs="Tahoma"/>
          <w:szCs w:val="18"/>
        </w:rPr>
      </w:pPr>
      <w:proofErr w:type="spellStart"/>
      <w:r w:rsidRPr="001C64EB">
        <w:rPr>
          <w:rFonts w:cs="Tahoma"/>
          <w:szCs w:val="18"/>
        </w:rPr>
        <w:t>Grantodawca</w:t>
      </w:r>
      <w:proofErr w:type="spellEnd"/>
      <w:r w:rsidRPr="001C64EB">
        <w:rPr>
          <w:rFonts w:cs="Tahoma"/>
          <w:szCs w:val="18"/>
        </w:rPr>
        <w:t xml:space="preserve"> nie pobiera opłat (prowizji) od </w:t>
      </w:r>
      <w:proofErr w:type="spellStart"/>
      <w:r w:rsidRPr="001C64EB">
        <w:rPr>
          <w:rFonts w:cs="Tahoma"/>
          <w:szCs w:val="18"/>
        </w:rPr>
        <w:t>Grantobiorców</w:t>
      </w:r>
      <w:proofErr w:type="spellEnd"/>
      <w:r w:rsidRPr="001C64EB">
        <w:rPr>
          <w:rFonts w:cs="Tahoma"/>
          <w:szCs w:val="18"/>
        </w:rPr>
        <w:t xml:space="preserve"> za udzielenie grantów. </w:t>
      </w:r>
    </w:p>
    <w:p w14:paraId="0027C208" w14:textId="1A1A7981" w:rsidR="00325743" w:rsidRPr="001C64EB" w:rsidRDefault="00C60FA4" w:rsidP="00325743">
      <w:pPr>
        <w:pStyle w:val="Nagwek1"/>
        <w:rPr>
          <w:color w:val="auto"/>
        </w:rPr>
      </w:pPr>
      <w:bookmarkStart w:id="17" w:name="_Toc7251561"/>
      <w:r w:rsidRPr="001C64EB">
        <w:rPr>
          <w:color w:val="auto"/>
        </w:rPr>
        <w:t>10. </w:t>
      </w:r>
      <w:r w:rsidR="00325743" w:rsidRPr="001C64EB">
        <w:rPr>
          <w:color w:val="auto"/>
        </w:rPr>
        <w:t>Wymogi w zakresie zabezpieczenia grantów</w:t>
      </w:r>
      <w:bookmarkEnd w:id="17"/>
    </w:p>
    <w:p w14:paraId="0887943E" w14:textId="2A3E603B" w:rsidR="00512D11" w:rsidRPr="001C64EB" w:rsidRDefault="00512D11" w:rsidP="00707D93">
      <w:pPr>
        <w:pStyle w:val="Akapitzlist"/>
        <w:numPr>
          <w:ilvl w:val="0"/>
          <w:numId w:val="19"/>
        </w:numPr>
        <w:rPr>
          <w:rFonts w:cs="Tahoma"/>
          <w:szCs w:val="18"/>
        </w:rPr>
      </w:pPr>
      <w:r w:rsidRPr="001C64EB">
        <w:rPr>
          <w:rFonts w:cs="Tahoma"/>
          <w:szCs w:val="18"/>
        </w:rPr>
        <w:t xml:space="preserve">Dofinansowanie może zostać wypłacone po ustanowieniu lub wniesieniu przez </w:t>
      </w:r>
      <w:proofErr w:type="spellStart"/>
      <w:r w:rsidR="00402846" w:rsidRPr="001C64EB">
        <w:rPr>
          <w:rFonts w:cs="Tahoma"/>
          <w:szCs w:val="18"/>
        </w:rPr>
        <w:t>Grantobiorcę</w:t>
      </w:r>
      <w:proofErr w:type="spellEnd"/>
      <w:r w:rsidRPr="001C64EB">
        <w:rPr>
          <w:rFonts w:cs="Tahoma"/>
          <w:szCs w:val="18"/>
        </w:rPr>
        <w:t xml:space="preserve"> zabezpieczenia należytego wykonania zobowiązań wynikających z Umowy. </w:t>
      </w:r>
    </w:p>
    <w:p w14:paraId="544EC213" w14:textId="27DB2FC6" w:rsidR="00512D11" w:rsidRPr="001C64EB" w:rsidRDefault="002A12FB" w:rsidP="00707D93">
      <w:pPr>
        <w:pStyle w:val="Akapitzlist"/>
        <w:numPr>
          <w:ilvl w:val="0"/>
          <w:numId w:val="19"/>
        </w:numPr>
        <w:rPr>
          <w:rFonts w:cs="Tahoma"/>
          <w:szCs w:val="18"/>
        </w:rPr>
      </w:pPr>
      <w:proofErr w:type="spellStart"/>
      <w:r w:rsidRPr="001C64EB">
        <w:rPr>
          <w:rFonts w:cs="Tahoma"/>
          <w:szCs w:val="18"/>
        </w:rPr>
        <w:t>Grantobiorca</w:t>
      </w:r>
      <w:proofErr w:type="spellEnd"/>
      <w:r w:rsidRPr="001C64EB">
        <w:rPr>
          <w:rFonts w:cs="Tahoma"/>
          <w:szCs w:val="18"/>
        </w:rPr>
        <w:t xml:space="preserve"> </w:t>
      </w:r>
      <w:r w:rsidR="00512D11" w:rsidRPr="001C64EB">
        <w:rPr>
          <w:rFonts w:cs="Tahoma"/>
          <w:szCs w:val="18"/>
        </w:rPr>
        <w:t xml:space="preserve">zobowiązany jest do złożenia </w:t>
      </w:r>
      <w:proofErr w:type="spellStart"/>
      <w:r w:rsidRPr="001C64EB">
        <w:rPr>
          <w:rFonts w:cs="Tahoma"/>
          <w:szCs w:val="18"/>
        </w:rPr>
        <w:t>Grantodawcy</w:t>
      </w:r>
      <w:proofErr w:type="spellEnd"/>
      <w:r w:rsidR="00512D11" w:rsidRPr="001C64EB">
        <w:rPr>
          <w:rFonts w:cs="Tahoma"/>
          <w:szCs w:val="18"/>
        </w:rPr>
        <w:t xml:space="preserve"> prawidłowo wystawionego zabezpieczenia, </w:t>
      </w:r>
      <w:r w:rsidR="00512D11" w:rsidRPr="001C64EB">
        <w:rPr>
          <w:rFonts w:cs="Tahoma"/>
          <w:szCs w:val="18"/>
        </w:rPr>
        <w:br/>
        <w:t xml:space="preserve">o którym mowa w ust. 1, najpóźniej w momencie podpisania Umowy. </w:t>
      </w:r>
    </w:p>
    <w:p w14:paraId="6C782B8A" w14:textId="3D67AA14" w:rsidR="00512D11" w:rsidRPr="001C64EB" w:rsidRDefault="00512D11" w:rsidP="00707D93">
      <w:pPr>
        <w:pStyle w:val="Akapitzlist"/>
        <w:numPr>
          <w:ilvl w:val="0"/>
          <w:numId w:val="19"/>
        </w:numPr>
        <w:rPr>
          <w:rFonts w:cs="Tahoma"/>
          <w:szCs w:val="18"/>
        </w:rPr>
      </w:pPr>
      <w:r w:rsidRPr="001C64EB">
        <w:rPr>
          <w:rFonts w:cs="Tahoma"/>
          <w:szCs w:val="18"/>
        </w:rPr>
        <w:t>Zabezpieczenie ustanawiane jest w formie weksla in blanco opatrzonego klauzulą „na zlecenie” wraz z deklaracją wekslową, według wzorów</w:t>
      </w:r>
      <w:r w:rsidR="002A12FB" w:rsidRPr="001C64EB">
        <w:rPr>
          <w:rFonts w:cs="Tahoma"/>
          <w:szCs w:val="18"/>
        </w:rPr>
        <w:t xml:space="preserve">, które będą </w:t>
      </w:r>
      <w:r w:rsidRPr="001C64EB">
        <w:rPr>
          <w:rFonts w:cs="Tahoma"/>
          <w:szCs w:val="18"/>
        </w:rPr>
        <w:t>udostępnion</w:t>
      </w:r>
      <w:r w:rsidR="002A12FB" w:rsidRPr="001C64EB">
        <w:rPr>
          <w:rFonts w:cs="Tahoma"/>
          <w:szCs w:val="18"/>
        </w:rPr>
        <w:t>e</w:t>
      </w:r>
      <w:r w:rsidRPr="001C64EB">
        <w:rPr>
          <w:rFonts w:cs="Tahoma"/>
          <w:szCs w:val="18"/>
        </w:rPr>
        <w:t xml:space="preserve"> na stronie internetowej</w:t>
      </w:r>
      <w:r w:rsidR="002A12FB" w:rsidRPr="001C64EB">
        <w:rPr>
          <w:rFonts w:cs="Tahoma"/>
          <w:szCs w:val="18"/>
        </w:rPr>
        <w:t>.</w:t>
      </w:r>
      <w:r w:rsidRPr="001C64EB">
        <w:rPr>
          <w:rFonts w:cs="Tahoma"/>
          <w:szCs w:val="18"/>
        </w:rPr>
        <w:t xml:space="preserve"> </w:t>
      </w:r>
    </w:p>
    <w:p w14:paraId="592B48C3" w14:textId="2899DD32" w:rsidR="00512D11" w:rsidRPr="001C64EB" w:rsidRDefault="00512D11" w:rsidP="00707D93">
      <w:pPr>
        <w:pStyle w:val="Akapitzlist"/>
        <w:numPr>
          <w:ilvl w:val="0"/>
          <w:numId w:val="19"/>
        </w:numPr>
        <w:rPr>
          <w:rFonts w:cs="Tahoma"/>
          <w:szCs w:val="18"/>
        </w:rPr>
      </w:pPr>
      <w:r w:rsidRPr="001C64EB">
        <w:rPr>
          <w:rFonts w:cs="Tahoma"/>
          <w:szCs w:val="18"/>
        </w:rPr>
        <w:t xml:space="preserve">W przypadku prawidłowego wypełnienia przez </w:t>
      </w:r>
      <w:proofErr w:type="spellStart"/>
      <w:r w:rsidR="002A12FB" w:rsidRPr="001C64EB">
        <w:rPr>
          <w:rFonts w:cs="Tahoma"/>
          <w:szCs w:val="18"/>
        </w:rPr>
        <w:t>Grantobiorcę</w:t>
      </w:r>
      <w:proofErr w:type="spellEnd"/>
      <w:r w:rsidR="002A12FB" w:rsidRPr="001C64EB">
        <w:rPr>
          <w:rFonts w:cs="Tahoma"/>
          <w:szCs w:val="18"/>
        </w:rPr>
        <w:t xml:space="preserve"> </w:t>
      </w:r>
      <w:r w:rsidRPr="001C64EB">
        <w:rPr>
          <w:rFonts w:cs="Tahoma"/>
          <w:szCs w:val="18"/>
        </w:rPr>
        <w:t xml:space="preserve">wszelkich zobowiązań określonych </w:t>
      </w:r>
      <w:r w:rsidRPr="001C64EB">
        <w:rPr>
          <w:rFonts w:cs="Tahoma"/>
          <w:szCs w:val="18"/>
        </w:rPr>
        <w:br/>
        <w:t xml:space="preserve">w Umowie, </w:t>
      </w:r>
      <w:proofErr w:type="spellStart"/>
      <w:r w:rsidR="002A12FB" w:rsidRPr="001C64EB">
        <w:rPr>
          <w:rFonts w:cs="Tahoma"/>
          <w:szCs w:val="18"/>
        </w:rPr>
        <w:t>Grantodawca</w:t>
      </w:r>
      <w:proofErr w:type="spellEnd"/>
      <w:r w:rsidRPr="001C64EB">
        <w:rPr>
          <w:rFonts w:cs="Tahoma"/>
          <w:szCs w:val="18"/>
        </w:rPr>
        <w:t xml:space="preserve"> zwróci ustanowione zabezpieczenie po zakończeniu realizacji Projektu i po jego ostatecznym rozliczeniu.</w:t>
      </w:r>
    </w:p>
    <w:p w14:paraId="6C9355F3" w14:textId="77777777" w:rsidR="00512D11" w:rsidRPr="001C64EB" w:rsidRDefault="00512D11" w:rsidP="00707D93">
      <w:pPr>
        <w:pStyle w:val="Akapitzlist"/>
        <w:numPr>
          <w:ilvl w:val="0"/>
          <w:numId w:val="19"/>
        </w:numPr>
        <w:rPr>
          <w:rFonts w:cs="Tahoma"/>
          <w:szCs w:val="18"/>
        </w:rPr>
      </w:pPr>
      <w:r w:rsidRPr="001C64EB">
        <w:rPr>
          <w:rFonts w:cs="Tahoma"/>
          <w:szCs w:val="18"/>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w:t>
      </w:r>
      <w:r w:rsidRPr="001C64EB">
        <w:rPr>
          <w:rFonts w:cs="Tahoma"/>
          <w:szCs w:val="18"/>
        </w:rPr>
        <w:lastRenderedPageBreak/>
        <w:t xml:space="preserve">administracyjnej zwrot zabezpieczenia może nastąpić po zakończeniu postępowania </w:t>
      </w:r>
      <w:r w:rsidRPr="001C64EB">
        <w:rPr>
          <w:rFonts w:cs="Tahoma"/>
          <w:szCs w:val="18"/>
        </w:rPr>
        <w:br/>
        <w:t xml:space="preserve">i odzyskaniu środków wraz z odsetkami. </w:t>
      </w:r>
    </w:p>
    <w:p w14:paraId="6B5547CE" w14:textId="77777777" w:rsidR="00512D11" w:rsidRPr="001C64EB" w:rsidRDefault="00512D11" w:rsidP="00707D93">
      <w:pPr>
        <w:pStyle w:val="Akapitzlist"/>
        <w:numPr>
          <w:ilvl w:val="0"/>
          <w:numId w:val="19"/>
        </w:numPr>
        <w:rPr>
          <w:rFonts w:cs="Tahoma"/>
          <w:szCs w:val="18"/>
        </w:rPr>
      </w:pPr>
      <w:r w:rsidRPr="001C64EB">
        <w:rPr>
          <w:rFonts w:cs="Tahoma"/>
          <w:szCs w:val="18"/>
        </w:rPr>
        <w:t>W przypadku, gdy zachowana musi zostać trwałość Projektu, zwrot zabezpieczenia następuje po upływie okresu trwałości.</w:t>
      </w:r>
    </w:p>
    <w:p w14:paraId="001E4D21" w14:textId="2DC161C9" w:rsidR="00383F17" w:rsidRPr="001C64EB" w:rsidRDefault="00C60FA4" w:rsidP="00A73A59">
      <w:pPr>
        <w:pStyle w:val="Nagwek1"/>
        <w:rPr>
          <w:color w:val="auto"/>
        </w:rPr>
      </w:pPr>
      <w:bookmarkStart w:id="18" w:name="_Toc7251562"/>
      <w:r w:rsidRPr="001C64EB">
        <w:rPr>
          <w:color w:val="auto"/>
        </w:rPr>
        <w:t>11. </w:t>
      </w:r>
      <w:r w:rsidR="00383F17" w:rsidRPr="001C64EB">
        <w:rPr>
          <w:color w:val="auto"/>
        </w:rPr>
        <w:t>Zasady dotyczące monitorowania</w:t>
      </w:r>
      <w:bookmarkEnd w:id="18"/>
      <w:r w:rsidR="00383F17" w:rsidRPr="001C64EB">
        <w:rPr>
          <w:color w:val="auto"/>
        </w:rPr>
        <w:t xml:space="preserve"> </w:t>
      </w:r>
    </w:p>
    <w:p w14:paraId="63AABD2E" w14:textId="7E21CF8A" w:rsidR="003803B4" w:rsidRPr="001C64EB" w:rsidRDefault="003803B4" w:rsidP="00707D93">
      <w:pPr>
        <w:pStyle w:val="Default"/>
        <w:numPr>
          <w:ilvl w:val="0"/>
          <w:numId w:val="18"/>
        </w:numPr>
        <w:spacing w:line="360" w:lineRule="auto"/>
        <w:jc w:val="both"/>
        <w:rPr>
          <w:rFonts w:ascii="Tahoma" w:hAnsi="Tahoma" w:cs="Tahoma"/>
          <w:color w:val="auto"/>
          <w:sz w:val="18"/>
          <w:szCs w:val="18"/>
        </w:rPr>
      </w:pPr>
      <w:proofErr w:type="spellStart"/>
      <w:r w:rsidRPr="001C64EB">
        <w:rPr>
          <w:rFonts w:ascii="Tahoma" w:hAnsi="Tahoma" w:cs="Tahoma"/>
          <w:color w:val="auto"/>
          <w:sz w:val="18"/>
          <w:szCs w:val="18"/>
        </w:rPr>
        <w:t>Grantodawca</w:t>
      </w:r>
      <w:proofErr w:type="spellEnd"/>
      <w:r w:rsidRPr="001C64EB">
        <w:rPr>
          <w:rFonts w:ascii="Tahoma" w:hAnsi="Tahoma" w:cs="Tahoma"/>
          <w:color w:val="auto"/>
          <w:sz w:val="18"/>
          <w:szCs w:val="18"/>
        </w:rPr>
        <w:t xml:space="preserve"> będzie prowadził monitoring powierzonych Grantów a </w:t>
      </w:r>
      <w:proofErr w:type="spellStart"/>
      <w:r w:rsidRPr="001C64EB">
        <w:rPr>
          <w:rFonts w:ascii="Tahoma" w:hAnsi="Tahoma" w:cs="Tahoma"/>
          <w:color w:val="auto"/>
          <w:sz w:val="18"/>
          <w:szCs w:val="18"/>
        </w:rPr>
        <w:t>Grantobiorca</w:t>
      </w:r>
      <w:proofErr w:type="spellEnd"/>
      <w:r w:rsidRPr="001C64EB">
        <w:rPr>
          <w:rFonts w:ascii="Tahoma" w:hAnsi="Tahoma" w:cs="Tahoma"/>
          <w:color w:val="auto"/>
          <w:sz w:val="18"/>
          <w:szCs w:val="18"/>
        </w:rPr>
        <w:t xml:space="preserve"> zobowiązuje się poddać monitoringowi i kontroli udzielonego Grantu. </w:t>
      </w:r>
    </w:p>
    <w:p w14:paraId="2B8F8FAD" w14:textId="2216E70E" w:rsidR="005A6187" w:rsidRPr="001C64EB" w:rsidRDefault="005A6187" w:rsidP="00707D93">
      <w:pPr>
        <w:pStyle w:val="Akapitzlist"/>
        <w:numPr>
          <w:ilvl w:val="0"/>
          <w:numId w:val="18"/>
        </w:numPr>
        <w:rPr>
          <w:szCs w:val="16"/>
        </w:rPr>
      </w:pPr>
      <w:proofErr w:type="spellStart"/>
      <w:r w:rsidRPr="001C64EB">
        <w:rPr>
          <w:szCs w:val="16"/>
        </w:rPr>
        <w:t>Grantobiorca</w:t>
      </w:r>
      <w:proofErr w:type="spellEnd"/>
      <w:r w:rsidRPr="001C64EB">
        <w:rPr>
          <w:szCs w:val="16"/>
        </w:rPr>
        <w:t xml:space="preserve"> będzie zobowiązany do:</w:t>
      </w:r>
    </w:p>
    <w:p w14:paraId="3D87A36F" w14:textId="02C66BE6" w:rsidR="005A6187" w:rsidRPr="001C64EB" w:rsidRDefault="005A6187" w:rsidP="00707D93">
      <w:pPr>
        <w:pStyle w:val="Akapitzlist"/>
        <w:numPr>
          <w:ilvl w:val="1"/>
          <w:numId w:val="18"/>
        </w:numPr>
        <w:rPr>
          <w:szCs w:val="16"/>
        </w:rPr>
      </w:pPr>
      <w:r w:rsidRPr="001C64EB">
        <w:rPr>
          <w:szCs w:val="16"/>
        </w:rPr>
        <w:t xml:space="preserve">systematycznego monitorowania przebiegu realizacji Projektu </w:t>
      </w:r>
      <w:proofErr w:type="spellStart"/>
      <w:r w:rsidRPr="001C64EB">
        <w:rPr>
          <w:szCs w:val="16"/>
        </w:rPr>
        <w:t>Grantobiorcy</w:t>
      </w:r>
      <w:proofErr w:type="spellEnd"/>
      <w:r w:rsidRPr="001C64EB">
        <w:rPr>
          <w:szCs w:val="16"/>
        </w:rPr>
        <w:t xml:space="preserve"> oraz niezwłocznego informowania </w:t>
      </w:r>
      <w:proofErr w:type="spellStart"/>
      <w:r w:rsidRPr="001C64EB">
        <w:rPr>
          <w:szCs w:val="16"/>
        </w:rPr>
        <w:t>Grantodawcy</w:t>
      </w:r>
      <w:proofErr w:type="spellEnd"/>
      <w:r w:rsidRPr="001C64EB">
        <w:rPr>
          <w:szCs w:val="16"/>
        </w:rPr>
        <w:t xml:space="preserve"> o zaistniałych nieprawidłowościach lub problemach w realizacji Projektu </w:t>
      </w:r>
      <w:proofErr w:type="spellStart"/>
      <w:r w:rsidRPr="001C64EB">
        <w:rPr>
          <w:szCs w:val="16"/>
        </w:rPr>
        <w:t>Grantobiorcy</w:t>
      </w:r>
      <w:proofErr w:type="spellEnd"/>
      <w:r w:rsidRPr="001C64EB">
        <w:rPr>
          <w:szCs w:val="16"/>
        </w:rPr>
        <w:t xml:space="preserve"> albo o zamiarze zaprzestania realizacji Projektu </w:t>
      </w:r>
      <w:proofErr w:type="spellStart"/>
      <w:r w:rsidRPr="001C64EB">
        <w:rPr>
          <w:szCs w:val="16"/>
        </w:rPr>
        <w:t>Grantobiorcy</w:t>
      </w:r>
      <w:proofErr w:type="spellEnd"/>
      <w:r w:rsidRPr="001C64EB">
        <w:rPr>
          <w:szCs w:val="16"/>
        </w:rPr>
        <w:t xml:space="preserve"> oraz o ryzyku nieosiągnięcia wskaźników Projektu </w:t>
      </w:r>
      <w:proofErr w:type="spellStart"/>
      <w:r w:rsidRPr="001C64EB">
        <w:rPr>
          <w:szCs w:val="16"/>
        </w:rPr>
        <w:t>Grantobiorcy</w:t>
      </w:r>
      <w:proofErr w:type="spellEnd"/>
      <w:r w:rsidRPr="001C64EB">
        <w:rPr>
          <w:szCs w:val="16"/>
        </w:rPr>
        <w:t xml:space="preserve">. </w:t>
      </w:r>
      <w:proofErr w:type="spellStart"/>
      <w:r w:rsidRPr="001C64EB">
        <w:rPr>
          <w:szCs w:val="16"/>
        </w:rPr>
        <w:t>Grantobiorca</w:t>
      </w:r>
      <w:proofErr w:type="spellEnd"/>
      <w:r w:rsidRPr="001C64EB">
        <w:rPr>
          <w:szCs w:val="16"/>
        </w:rPr>
        <w:t xml:space="preserve"> raz w roku w okresie trwałości, w każdą rocznicę podpisania Umowy o powierzenie Grantu prze</w:t>
      </w:r>
      <w:r w:rsidR="003803B4" w:rsidRPr="001C64EB">
        <w:rPr>
          <w:szCs w:val="16"/>
        </w:rPr>
        <w:t>śle</w:t>
      </w:r>
      <w:r w:rsidRPr="001C64EB">
        <w:rPr>
          <w:szCs w:val="16"/>
        </w:rPr>
        <w:t xml:space="preserve"> oświadczenia dotyczące realizacji Projektu </w:t>
      </w:r>
      <w:proofErr w:type="spellStart"/>
      <w:r w:rsidRPr="001C64EB">
        <w:rPr>
          <w:szCs w:val="16"/>
        </w:rPr>
        <w:t>Grantobiorcy</w:t>
      </w:r>
      <w:proofErr w:type="spellEnd"/>
      <w:r w:rsidRPr="001C64EB">
        <w:rPr>
          <w:szCs w:val="16"/>
        </w:rPr>
        <w:t xml:space="preserve"> zgodnie z Umową. Wzór oświadczeń zostanie opracowany przez </w:t>
      </w:r>
      <w:proofErr w:type="spellStart"/>
      <w:r w:rsidRPr="001C64EB">
        <w:rPr>
          <w:szCs w:val="16"/>
        </w:rPr>
        <w:t>Grantodawcę</w:t>
      </w:r>
      <w:proofErr w:type="spellEnd"/>
      <w:r w:rsidRPr="001C64EB">
        <w:rPr>
          <w:szCs w:val="16"/>
        </w:rPr>
        <w:t xml:space="preserve"> i opublikowany na jego stronie internetowej.</w:t>
      </w:r>
    </w:p>
    <w:p w14:paraId="1795AD06" w14:textId="1126162C" w:rsidR="005A6187" w:rsidRPr="001C64EB" w:rsidRDefault="005A6187" w:rsidP="00707D93">
      <w:pPr>
        <w:pStyle w:val="Akapitzlist"/>
        <w:numPr>
          <w:ilvl w:val="1"/>
          <w:numId w:val="18"/>
        </w:numPr>
        <w:rPr>
          <w:szCs w:val="16"/>
        </w:rPr>
      </w:pPr>
      <w:r w:rsidRPr="001C64EB">
        <w:rPr>
          <w:szCs w:val="16"/>
        </w:rPr>
        <w:t>osiągnięcia wartości docelowych wskaźników produktu i rezultatu, których wartości zostały określone we Wniosku o Grant oraz ich utrzymania w okresie trwałości projektu;</w:t>
      </w:r>
    </w:p>
    <w:p w14:paraId="641B6E88" w14:textId="7D2D51A0" w:rsidR="005A6187" w:rsidRPr="001C64EB" w:rsidRDefault="005A6187" w:rsidP="00707D93">
      <w:pPr>
        <w:pStyle w:val="Akapitzlist"/>
        <w:numPr>
          <w:ilvl w:val="1"/>
          <w:numId w:val="18"/>
        </w:numPr>
        <w:rPr>
          <w:szCs w:val="16"/>
        </w:rPr>
      </w:pPr>
      <w:r w:rsidRPr="001C64EB">
        <w:rPr>
          <w:szCs w:val="16"/>
        </w:rPr>
        <w:t xml:space="preserve">udostępniania i przekazywania do </w:t>
      </w:r>
      <w:proofErr w:type="spellStart"/>
      <w:r w:rsidRPr="001C64EB">
        <w:rPr>
          <w:szCs w:val="16"/>
        </w:rPr>
        <w:t>Grantodawcy</w:t>
      </w:r>
      <w:proofErr w:type="spellEnd"/>
      <w:r w:rsidRPr="001C64EB">
        <w:rPr>
          <w:szCs w:val="16"/>
        </w:rPr>
        <w:t xml:space="preserve"> wszelkich dokumentów, danych, informacji i wyjaśnień dotyczących realizacji Projektu </w:t>
      </w:r>
      <w:proofErr w:type="spellStart"/>
      <w:r w:rsidRPr="001C64EB">
        <w:rPr>
          <w:szCs w:val="16"/>
        </w:rPr>
        <w:t>Grantobiorcy</w:t>
      </w:r>
      <w:proofErr w:type="spellEnd"/>
      <w:r w:rsidRPr="001C64EB">
        <w:rPr>
          <w:szCs w:val="16"/>
        </w:rPr>
        <w:t xml:space="preserve">, w tym także na potrzeby ewaluacji Programu, których </w:t>
      </w:r>
      <w:proofErr w:type="spellStart"/>
      <w:r w:rsidRPr="001C64EB">
        <w:rPr>
          <w:szCs w:val="16"/>
        </w:rPr>
        <w:t>Grantodawca</w:t>
      </w:r>
      <w:proofErr w:type="spellEnd"/>
      <w:r w:rsidRPr="001C64EB">
        <w:rPr>
          <w:szCs w:val="16"/>
        </w:rPr>
        <w:t xml:space="preserve"> zażąda w trakcie obowiązywania Umowy oraz w okresie trwałości projektu;</w:t>
      </w:r>
    </w:p>
    <w:p w14:paraId="0B6C4FD2" w14:textId="77777777" w:rsidR="005A6187" w:rsidRPr="001C64EB" w:rsidRDefault="005A6187" w:rsidP="00707D93">
      <w:pPr>
        <w:pStyle w:val="Akapitzlist"/>
        <w:numPr>
          <w:ilvl w:val="1"/>
          <w:numId w:val="18"/>
        </w:numPr>
        <w:rPr>
          <w:szCs w:val="16"/>
        </w:rPr>
      </w:pPr>
      <w:proofErr w:type="spellStart"/>
      <w:r w:rsidRPr="001C64EB">
        <w:rPr>
          <w:szCs w:val="16"/>
        </w:rPr>
        <w:t>Grantobiorca</w:t>
      </w:r>
      <w:proofErr w:type="spellEnd"/>
      <w:r w:rsidRPr="001C64EB">
        <w:rPr>
          <w:szCs w:val="16"/>
        </w:rPr>
        <w:t xml:space="preserve"> jest obowiązany do wykorzystania źródła ciepła i pozostałych elementów projektu zgodnie z parametrami określonymi we Wniosku o Grant, uzyskując zaplanowane efekty, w tym wskaźniki produktu i rezultatu. W przypadku uchybień w pracy źródła ciepła i pozostałych elementów projektu, </w:t>
      </w:r>
      <w:proofErr w:type="spellStart"/>
      <w:r w:rsidRPr="001C64EB">
        <w:rPr>
          <w:szCs w:val="16"/>
        </w:rPr>
        <w:t>Grantobiorca</w:t>
      </w:r>
      <w:proofErr w:type="spellEnd"/>
      <w:r w:rsidRPr="001C64EB">
        <w:rPr>
          <w:szCs w:val="16"/>
        </w:rPr>
        <w:t xml:space="preserve"> niezwłocznie kontaktuje się z Wykonawcą w celu naprawy i/lub przywrócenia maksymalnych parametrów pracy instalacji.</w:t>
      </w:r>
    </w:p>
    <w:p w14:paraId="553EDACB" w14:textId="77777777" w:rsidR="005A6187" w:rsidRPr="001C64EB" w:rsidRDefault="005A6187" w:rsidP="00707D93">
      <w:pPr>
        <w:pStyle w:val="Akapitzlist"/>
        <w:numPr>
          <w:ilvl w:val="0"/>
          <w:numId w:val="18"/>
        </w:numPr>
        <w:rPr>
          <w:szCs w:val="16"/>
        </w:rPr>
      </w:pPr>
      <w:r w:rsidRPr="001C64EB">
        <w:rPr>
          <w:szCs w:val="16"/>
        </w:rPr>
        <w:t xml:space="preserve">W szczególnych przypadkach </w:t>
      </w:r>
      <w:proofErr w:type="spellStart"/>
      <w:r w:rsidRPr="001C64EB">
        <w:rPr>
          <w:szCs w:val="16"/>
        </w:rPr>
        <w:t>Grantodawca</w:t>
      </w:r>
      <w:proofErr w:type="spellEnd"/>
      <w:r w:rsidRPr="001C64EB">
        <w:rPr>
          <w:szCs w:val="16"/>
        </w:rPr>
        <w:t xml:space="preserve"> ma prawo do pomniejszenia wydatków kwalifikowalnych w projekcie </w:t>
      </w:r>
      <w:proofErr w:type="spellStart"/>
      <w:r w:rsidRPr="001C64EB">
        <w:rPr>
          <w:szCs w:val="16"/>
        </w:rPr>
        <w:t>Grantobiorcy</w:t>
      </w:r>
      <w:proofErr w:type="spellEnd"/>
      <w:r w:rsidRPr="001C64EB">
        <w:rPr>
          <w:szCs w:val="16"/>
        </w:rPr>
        <w:t xml:space="preserve"> z tytułu niezrealizowania wskaźników produktu i/lub rezultatu, których wartości zostały określone we Wniosku o Grant. W przypadku nieosiągnięcia założonej wartości wskaźnika produktu i/lub rezultatu </w:t>
      </w:r>
      <w:proofErr w:type="spellStart"/>
      <w:r w:rsidRPr="001C64EB">
        <w:rPr>
          <w:szCs w:val="16"/>
        </w:rPr>
        <w:t>Grantodawca</w:t>
      </w:r>
      <w:proofErr w:type="spellEnd"/>
      <w:r w:rsidRPr="001C64EB">
        <w:rPr>
          <w:szCs w:val="16"/>
        </w:rPr>
        <w:t xml:space="preserve"> może pomniejszyć wydatki kwalifikowalne, proporcjonalnie do poziomu niezrealizowanego wskaźnika. Każdy przypadek będzie rozpatrywany indywidualnie.</w:t>
      </w:r>
    </w:p>
    <w:p w14:paraId="368ADED1" w14:textId="33958300" w:rsidR="005A6187" w:rsidRPr="001C64EB" w:rsidRDefault="00C60FA4" w:rsidP="003803B4">
      <w:pPr>
        <w:pStyle w:val="Nagwek1"/>
        <w:rPr>
          <w:color w:val="auto"/>
        </w:rPr>
      </w:pPr>
      <w:bookmarkStart w:id="19" w:name="_Toc7251563"/>
      <w:r w:rsidRPr="001C64EB">
        <w:rPr>
          <w:color w:val="auto"/>
        </w:rPr>
        <w:t>12. </w:t>
      </w:r>
      <w:r w:rsidR="003803B4" w:rsidRPr="001C64EB">
        <w:rPr>
          <w:color w:val="auto"/>
        </w:rPr>
        <w:t>Zasady dotyczące kontroli</w:t>
      </w:r>
      <w:bookmarkEnd w:id="19"/>
    </w:p>
    <w:p w14:paraId="29B4ADB3" w14:textId="03D166D4" w:rsidR="003803B4" w:rsidRPr="001C64EB" w:rsidRDefault="003803B4" w:rsidP="00707D93">
      <w:pPr>
        <w:pStyle w:val="Default"/>
        <w:numPr>
          <w:ilvl w:val="0"/>
          <w:numId w:val="4"/>
        </w:numPr>
        <w:spacing w:line="360" w:lineRule="auto"/>
        <w:ind w:left="426" w:hanging="426"/>
        <w:jc w:val="both"/>
        <w:rPr>
          <w:rFonts w:ascii="Tahoma" w:hAnsi="Tahoma" w:cs="Tahoma"/>
          <w:color w:val="auto"/>
          <w:sz w:val="18"/>
          <w:szCs w:val="18"/>
        </w:rPr>
      </w:pPr>
      <w:proofErr w:type="spellStart"/>
      <w:r w:rsidRPr="001C64EB">
        <w:rPr>
          <w:rFonts w:ascii="Tahoma" w:hAnsi="Tahoma" w:cs="Tahoma"/>
          <w:color w:val="auto"/>
          <w:sz w:val="18"/>
          <w:szCs w:val="18"/>
        </w:rPr>
        <w:t>Grantobiorca</w:t>
      </w:r>
      <w:proofErr w:type="spellEnd"/>
      <w:r w:rsidRPr="001C64EB">
        <w:rPr>
          <w:rFonts w:ascii="Tahoma" w:hAnsi="Tahoma" w:cs="Tahoma"/>
          <w:color w:val="auto"/>
          <w:sz w:val="18"/>
          <w:szCs w:val="18"/>
        </w:rPr>
        <w:t xml:space="preserve"> zobowiązuje się poddać kontroli w zakresie prawidłowości realizacji Projektu, dokonywanej przez </w:t>
      </w:r>
      <w:proofErr w:type="spellStart"/>
      <w:r w:rsidRPr="001C64EB">
        <w:rPr>
          <w:rFonts w:ascii="Tahoma" w:hAnsi="Tahoma" w:cs="Tahoma"/>
          <w:color w:val="auto"/>
          <w:sz w:val="18"/>
          <w:szCs w:val="18"/>
        </w:rPr>
        <w:t>Grantodawcę</w:t>
      </w:r>
      <w:proofErr w:type="spellEnd"/>
      <w:r w:rsidRPr="001C64EB">
        <w:rPr>
          <w:rFonts w:ascii="Tahoma" w:hAnsi="Tahoma" w:cs="Tahoma"/>
          <w:color w:val="auto"/>
          <w:sz w:val="18"/>
          <w:szCs w:val="18"/>
        </w:rPr>
        <w:t>, DIP, IZ RPO oraz inne podmioty upoważnione lub uprawnione do jej przeprowadzenia na podstawie odrębnych przepisów.</w:t>
      </w:r>
    </w:p>
    <w:p w14:paraId="11A1A64B" w14:textId="77777777" w:rsidR="00E15569" w:rsidRPr="001C64EB" w:rsidRDefault="003803B4" w:rsidP="00707D93">
      <w:pPr>
        <w:pStyle w:val="Default"/>
        <w:numPr>
          <w:ilvl w:val="0"/>
          <w:numId w:val="4"/>
        </w:numPr>
        <w:spacing w:line="360" w:lineRule="auto"/>
        <w:ind w:left="426" w:hanging="426"/>
        <w:jc w:val="both"/>
        <w:rPr>
          <w:rFonts w:ascii="Tahoma" w:hAnsi="Tahoma" w:cs="Tahoma"/>
          <w:color w:val="auto"/>
          <w:sz w:val="18"/>
          <w:szCs w:val="18"/>
        </w:rPr>
      </w:pPr>
      <w:r w:rsidRPr="001C64EB">
        <w:rPr>
          <w:rFonts w:ascii="Tahoma" w:hAnsi="Tahoma" w:cs="Tahoma"/>
          <w:color w:val="auto"/>
          <w:sz w:val="18"/>
          <w:szCs w:val="18"/>
        </w:rPr>
        <w:t xml:space="preserve">Kontrolę przeprowadza zespół kontrolujący w skład którego wchodzą przedstawiciele </w:t>
      </w:r>
      <w:proofErr w:type="spellStart"/>
      <w:r w:rsidRPr="001C64EB">
        <w:rPr>
          <w:rFonts w:ascii="Tahoma" w:hAnsi="Tahoma" w:cs="Tahoma"/>
          <w:color w:val="auto"/>
          <w:sz w:val="18"/>
          <w:szCs w:val="18"/>
        </w:rPr>
        <w:t>Grantobiorcy</w:t>
      </w:r>
      <w:proofErr w:type="spellEnd"/>
      <w:r w:rsidRPr="001C64EB">
        <w:rPr>
          <w:rFonts w:ascii="Tahoma" w:hAnsi="Tahoma" w:cs="Tahoma"/>
          <w:color w:val="auto"/>
          <w:sz w:val="18"/>
          <w:szCs w:val="18"/>
        </w:rPr>
        <w:t xml:space="preserve"> lub w siedzibie podmiotu kontrolującego lub w miejscu rzeczowej realizacji Projektu, w tym także u </w:t>
      </w:r>
      <w:proofErr w:type="spellStart"/>
      <w:r w:rsidRPr="001C64EB">
        <w:rPr>
          <w:rFonts w:ascii="Tahoma" w:hAnsi="Tahoma" w:cs="Tahoma"/>
          <w:color w:val="auto"/>
          <w:sz w:val="18"/>
          <w:szCs w:val="18"/>
        </w:rPr>
        <w:t>Grantobiorcy</w:t>
      </w:r>
      <w:proofErr w:type="spellEnd"/>
      <w:r w:rsidRPr="001C64EB">
        <w:rPr>
          <w:rFonts w:ascii="Tahoma" w:hAnsi="Tahoma" w:cs="Tahoma"/>
          <w:color w:val="auto"/>
          <w:sz w:val="18"/>
          <w:szCs w:val="18"/>
        </w:rPr>
        <w:t xml:space="preserve"> na oryginałach dokumentów lub kopiach dokumentów potwierdzonych za zgodność z oryginałem przez osoby upoważnione. Kontrole mogą być przeprowadzane w dowolnym terminie, w trakcie i na zakończenie realizacji Projektu, oraz po zakończeniu realizacji Projektu do dnia upływu: </w:t>
      </w:r>
    </w:p>
    <w:p w14:paraId="7B539E4B" w14:textId="255E66CA" w:rsidR="003803B4" w:rsidRPr="001C64EB" w:rsidRDefault="003803B4" w:rsidP="00707D93">
      <w:pPr>
        <w:pStyle w:val="Default"/>
        <w:numPr>
          <w:ilvl w:val="1"/>
          <w:numId w:val="4"/>
        </w:numPr>
        <w:spacing w:line="360" w:lineRule="auto"/>
        <w:ind w:left="851"/>
        <w:jc w:val="both"/>
        <w:rPr>
          <w:rFonts w:ascii="Tahoma" w:hAnsi="Tahoma" w:cs="Tahoma"/>
          <w:color w:val="auto"/>
          <w:sz w:val="18"/>
          <w:szCs w:val="18"/>
        </w:rPr>
      </w:pPr>
      <w:r w:rsidRPr="001C64EB">
        <w:rPr>
          <w:rFonts w:ascii="Tahoma" w:hAnsi="Tahoma" w:cs="Tahoma"/>
          <w:color w:val="auto"/>
          <w:sz w:val="18"/>
          <w:szCs w:val="18"/>
        </w:rPr>
        <w:lastRenderedPageBreak/>
        <w:t>2 lat od dnia 31 grudnia następującego po złożeniu zestawienia wydatków Komisji Europejskiej, w którym ujęto ostateczne wydatki dotyczące zakończonego Projektu, mające na celu sprawdzenie prawidłowości realizacji Projektu, w tym kwalifikowalności i prawidłowości poniesienia wydatków</w:t>
      </w:r>
      <w:r w:rsidR="00640AF3" w:rsidRPr="001C64EB">
        <w:rPr>
          <w:rFonts w:ascii="Tahoma" w:hAnsi="Tahoma" w:cs="Tahoma"/>
          <w:color w:val="auto"/>
          <w:sz w:val="18"/>
          <w:szCs w:val="18"/>
        </w:rPr>
        <w:t>;</w:t>
      </w:r>
    </w:p>
    <w:p w14:paraId="51ECAD90" w14:textId="33F05956" w:rsidR="003803B4" w:rsidRPr="001C64EB" w:rsidRDefault="006204B8" w:rsidP="00707D93">
      <w:pPr>
        <w:pStyle w:val="Default"/>
        <w:numPr>
          <w:ilvl w:val="1"/>
          <w:numId w:val="4"/>
        </w:numPr>
        <w:spacing w:line="360" w:lineRule="auto"/>
        <w:ind w:left="851"/>
        <w:jc w:val="both"/>
        <w:rPr>
          <w:rFonts w:ascii="Tahoma" w:hAnsi="Tahoma" w:cs="Tahoma"/>
          <w:color w:val="auto"/>
          <w:sz w:val="18"/>
          <w:szCs w:val="18"/>
        </w:rPr>
      </w:pPr>
      <w:r w:rsidRPr="001C64EB">
        <w:rPr>
          <w:rFonts w:ascii="Tahoma" w:hAnsi="Tahoma" w:cs="Tahoma"/>
          <w:color w:val="auto"/>
          <w:sz w:val="18"/>
          <w:szCs w:val="18"/>
        </w:rPr>
        <w:t>5</w:t>
      </w:r>
      <w:r w:rsidR="003803B4" w:rsidRPr="001C64EB">
        <w:rPr>
          <w:rFonts w:ascii="Tahoma" w:hAnsi="Tahoma" w:cs="Tahoma"/>
          <w:color w:val="auto"/>
          <w:sz w:val="18"/>
          <w:szCs w:val="18"/>
        </w:rPr>
        <w:t xml:space="preserve">  lat od dokonania płatności końcowej na rzecz Beneficjenta w celu sprawdzenia utrzymania przez Beneficjenta wskaźników produktu, trwałości Projektu , a także sprawdzenia, czy Projekt wygenerował, niewykazany wcześniej dochód, z zastrzeżeniem przepisów, które mogą przewidywać dłuższy termin przeprowadzenia kontroli dotyczących pomocy publicznej oraz podatku od towarów i usług. </w:t>
      </w:r>
    </w:p>
    <w:p w14:paraId="7FCB5323" w14:textId="56108C04" w:rsidR="003803B4" w:rsidRPr="001C64EB" w:rsidRDefault="00640AF3" w:rsidP="00707D93">
      <w:pPr>
        <w:pStyle w:val="Default"/>
        <w:numPr>
          <w:ilvl w:val="0"/>
          <w:numId w:val="4"/>
        </w:numPr>
        <w:spacing w:line="360" w:lineRule="auto"/>
        <w:ind w:left="426" w:hanging="426"/>
        <w:jc w:val="both"/>
        <w:rPr>
          <w:rFonts w:ascii="Tahoma" w:hAnsi="Tahoma" w:cs="Tahoma"/>
          <w:color w:val="auto"/>
          <w:sz w:val="18"/>
          <w:szCs w:val="18"/>
        </w:rPr>
      </w:pPr>
      <w:proofErr w:type="spellStart"/>
      <w:r w:rsidRPr="001C64EB">
        <w:rPr>
          <w:rFonts w:ascii="Tahoma" w:hAnsi="Tahoma" w:cs="Tahoma"/>
          <w:color w:val="auto"/>
          <w:sz w:val="18"/>
          <w:szCs w:val="18"/>
        </w:rPr>
        <w:t>Grantodawca</w:t>
      </w:r>
      <w:proofErr w:type="spellEnd"/>
      <w:r w:rsidR="003803B4" w:rsidRPr="001C64EB">
        <w:rPr>
          <w:rFonts w:ascii="Tahoma" w:hAnsi="Tahoma" w:cs="Tahoma"/>
          <w:color w:val="auto"/>
          <w:sz w:val="18"/>
          <w:szCs w:val="18"/>
        </w:rPr>
        <w:t xml:space="preserve"> informuje </w:t>
      </w:r>
      <w:proofErr w:type="spellStart"/>
      <w:r w:rsidRPr="001C64EB">
        <w:rPr>
          <w:rFonts w:ascii="Tahoma" w:hAnsi="Tahoma" w:cs="Tahoma"/>
          <w:color w:val="auto"/>
          <w:sz w:val="18"/>
          <w:szCs w:val="18"/>
        </w:rPr>
        <w:t>Grantobiorcę</w:t>
      </w:r>
      <w:proofErr w:type="spellEnd"/>
      <w:r w:rsidRPr="001C64EB">
        <w:rPr>
          <w:rFonts w:ascii="Tahoma" w:hAnsi="Tahoma" w:cs="Tahoma"/>
          <w:color w:val="auto"/>
          <w:sz w:val="18"/>
          <w:szCs w:val="18"/>
        </w:rPr>
        <w:t xml:space="preserve"> </w:t>
      </w:r>
      <w:r w:rsidR="003803B4" w:rsidRPr="001C64EB">
        <w:rPr>
          <w:rFonts w:ascii="Tahoma" w:hAnsi="Tahoma" w:cs="Tahoma"/>
          <w:color w:val="auto"/>
          <w:sz w:val="18"/>
          <w:szCs w:val="18"/>
        </w:rPr>
        <w:t xml:space="preserve">o dacie rozpoczęcia okresu, o którym mowa w ust. 2 pkt. 1. </w:t>
      </w:r>
    </w:p>
    <w:p w14:paraId="0D3E8704" w14:textId="77777777" w:rsidR="00640AF3" w:rsidRPr="001C64EB" w:rsidRDefault="00640AF3" w:rsidP="00707D93">
      <w:pPr>
        <w:pStyle w:val="Default"/>
        <w:numPr>
          <w:ilvl w:val="0"/>
          <w:numId w:val="4"/>
        </w:numPr>
        <w:spacing w:line="360" w:lineRule="auto"/>
        <w:ind w:left="426" w:hanging="426"/>
        <w:jc w:val="both"/>
        <w:rPr>
          <w:rFonts w:ascii="Tahoma" w:hAnsi="Tahoma" w:cs="Tahoma"/>
          <w:color w:val="auto"/>
          <w:sz w:val="18"/>
          <w:szCs w:val="18"/>
        </w:rPr>
      </w:pPr>
      <w:proofErr w:type="spellStart"/>
      <w:r w:rsidRPr="001C64EB">
        <w:rPr>
          <w:rFonts w:ascii="Tahoma" w:hAnsi="Tahoma" w:cs="Tahoma"/>
          <w:color w:val="auto"/>
          <w:sz w:val="18"/>
          <w:szCs w:val="18"/>
        </w:rPr>
        <w:t>Grantobiorca</w:t>
      </w:r>
      <w:proofErr w:type="spellEnd"/>
      <w:r w:rsidR="003803B4" w:rsidRPr="001C64EB">
        <w:rPr>
          <w:rFonts w:ascii="Tahoma" w:hAnsi="Tahoma" w:cs="Tahoma"/>
          <w:color w:val="auto"/>
          <w:sz w:val="18"/>
          <w:szCs w:val="18"/>
        </w:rPr>
        <w:t xml:space="preserve"> zobowiązuje się zapewnić podmiotom, o których mowa w ust. 1, prawo m.in. do:</w:t>
      </w:r>
      <w:r w:rsidRPr="001C64EB">
        <w:rPr>
          <w:rFonts w:ascii="Tahoma" w:hAnsi="Tahoma" w:cs="Tahoma"/>
          <w:color w:val="auto"/>
          <w:sz w:val="18"/>
          <w:szCs w:val="18"/>
        </w:rPr>
        <w:t xml:space="preserve"> </w:t>
      </w:r>
    </w:p>
    <w:p w14:paraId="2D98F78C" w14:textId="68688837" w:rsidR="003803B4" w:rsidRPr="001C64EB" w:rsidRDefault="003803B4" w:rsidP="00707D93">
      <w:pPr>
        <w:pStyle w:val="Default"/>
        <w:numPr>
          <w:ilvl w:val="1"/>
          <w:numId w:val="4"/>
        </w:numPr>
        <w:spacing w:line="360" w:lineRule="auto"/>
        <w:ind w:left="851"/>
        <w:jc w:val="both"/>
        <w:rPr>
          <w:rFonts w:ascii="Tahoma" w:hAnsi="Tahoma" w:cs="Tahoma"/>
          <w:color w:val="auto"/>
          <w:sz w:val="18"/>
          <w:szCs w:val="18"/>
        </w:rPr>
      </w:pPr>
      <w:r w:rsidRPr="001C64EB">
        <w:rPr>
          <w:rFonts w:ascii="Tahoma" w:hAnsi="Tahoma" w:cs="Tahoma"/>
          <w:color w:val="auto"/>
          <w:sz w:val="18"/>
          <w:szCs w:val="18"/>
        </w:rPr>
        <w:t>pełnego wglądu we wszystkie dokumenty, w tym dokumenty elektroniczne związane z realizacją Projektu oraz umożliwić tworzenie ich uwierzytelnionych kopii, odpisów i wyciągów;</w:t>
      </w:r>
    </w:p>
    <w:p w14:paraId="605D855B" w14:textId="7F0A8415" w:rsidR="003803B4" w:rsidRPr="001C64EB" w:rsidRDefault="003803B4" w:rsidP="00707D93">
      <w:pPr>
        <w:pStyle w:val="Default"/>
        <w:numPr>
          <w:ilvl w:val="1"/>
          <w:numId w:val="4"/>
        </w:numPr>
        <w:spacing w:line="360" w:lineRule="auto"/>
        <w:ind w:left="851"/>
        <w:jc w:val="both"/>
        <w:rPr>
          <w:rFonts w:ascii="Tahoma" w:hAnsi="Tahoma" w:cs="Tahoma"/>
          <w:color w:val="auto"/>
          <w:sz w:val="18"/>
          <w:szCs w:val="18"/>
        </w:rPr>
      </w:pPr>
      <w:r w:rsidRPr="001C64EB">
        <w:rPr>
          <w:rFonts w:ascii="Tahoma" w:hAnsi="Tahoma" w:cs="Tahoma"/>
          <w:color w:val="auto"/>
          <w:sz w:val="18"/>
          <w:szCs w:val="18"/>
        </w:rPr>
        <w:t xml:space="preserve">pełnego dostępu w szczególności do rzeczy, materiałów, urządzeń, sprzętów, obiektów, terenów i pomieszczeń, w których realizowany jest Projekt lub zgromadzona jest dokumentacja dotycząca realizowanego Projektu, w tym przeprowadzenia wszelkich czynności pozwalających na potwierdzenie kwalifikowalności wydatków, dostępu do związanych z projektem systemów teleinformatycznych oraz udzielania wszelkich wyjaśnień realizacji projektu, </w:t>
      </w:r>
    </w:p>
    <w:p w14:paraId="7ED1E98B" w14:textId="042300E8" w:rsidR="003803B4" w:rsidRPr="001C64EB" w:rsidRDefault="003803B4" w:rsidP="00707D93">
      <w:pPr>
        <w:pStyle w:val="Default"/>
        <w:numPr>
          <w:ilvl w:val="1"/>
          <w:numId w:val="4"/>
        </w:numPr>
        <w:spacing w:line="360" w:lineRule="auto"/>
        <w:ind w:left="851"/>
        <w:jc w:val="both"/>
        <w:rPr>
          <w:rFonts w:ascii="Tahoma" w:hAnsi="Tahoma" w:cs="Tahoma"/>
          <w:color w:val="auto"/>
          <w:sz w:val="18"/>
          <w:szCs w:val="18"/>
        </w:rPr>
      </w:pPr>
      <w:r w:rsidRPr="001C64EB">
        <w:rPr>
          <w:rFonts w:ascii="Tahoma" w:hAnsi="Tahoma" w:cs="Tahoma"/>
          <w:color w:val="auto"/>
          <w:sz w:val="18"/>
          <w:szCs w:val="18"/>
        </w:rPr>
        <w:t>udostępnienia również dokumentów niezwiązanych bezpośrednio z  realizacją projektu (jeżeli jest to konieczne do stwierdzenia kwalifikowalności wydatków ponoszonych w ramach realizacji projektu),</w:t>
      </w:r>
    </w:p>
    <w:p w14:paraId="55F97281" w14:textId="4A2F0868" w:rsidR="003803B4" w:rsidRPr="001C64EB" w:rsidRDefault="003803B4" w:rsidP="00707D93">
      <w:pPr>
        <w:pStyle w:val="Default"/>
        <w:numPr>
          <w:ilvl w:val="1"/>
          <w:numId w:val="4"/>
        </w:numPr>
        <w:spacing w:line="360" w:lineRule="auto"/>
        <w:ind w:left="851"/>
        <w:jc w:val="both"/>
        <w:rPr>
          <w:rFonts w:ascii="Tahoma" w:hAnsi="Tahoma" w:cs="Tahoma"/>
          <w:color w:val="auto"/>
          <w:sz w:val="18"/>
          <w:szCs w:val="18"/>
        </w:rPr>
      </w:pPr>
      <w:r w:rsidRPr="001C64EB">
        <w:rPr>
          <w:rFonts w:ascii="Tahoma" w:hAnsi="Tahoma" w:cs="Tahoma"/>
          <w:color w:val="auto"/>
          <w:sz w:val="18"/>
          <w:szCs w:val="18"/>
        </w:rPr>
        <w:t>zapewnienia obecności upoważnionej osoby lub osób, udzielających ustnych i pisemnych wyjaśnień na temat realizacji Projektu, w tym wydatków i innych zagadnień związanych z realizacją Projektu.</w:t>
      </w:r>
    </w:p>
    <w:p w14:paraId="5DAAA630" w14:textId="043ACCBB" w:rsidR="003803B4" w:rsidRPr="001C64EB" w:rsidRDefault="003803B4" w:rsidP="00707D93">
      <w:pPr>
        <w:pStyle w:val="Default"/>
        <w:numPr>
          <w:ilvl w:val="0"/>
          <w:numId w:val="4"/>
        </w:numPr>
        <w:spacing w:line="360" w:lineRule="auto"/>
        <w:ind w:left="426" w:hanging="426"/>
        <w:jc w:val="both"/>
        <w:rPr>
          <w:rFonts w:ascii="Tahoma" w:hAnsi="Tahoma" w:cs="Tahoma"/>
          <w:color w:val="auto"/>
          <w:sz w:val="18"/>
          <w:szCs w:val="18"/>
        </w:rPr>
      </w:pPr>
      <w:r w:rsidRPr="001C64EB">
        <w:rPr>
          <w:rFonts w:ascii="Tahoma" w:hAnsi="Tahoma" w:cs="Tahoma"/>
          <w:color w:val="auto"/>
          <w:sz w:val="18"/>
          <w:szCs w:val="18"/>
        </w:rPr>
        <w:t>Nieudostępnienie wszystkich wymaganych dokumentów, niezapewnienie pełnego dostępu, a także niezapewnienie obecności upoważnionej osoby lub osób, w trakcie kontroli realizacji Projektu może być traktowane jak odmowa poddania się kontroli.</w:t>
      </w:r>
    </w:p>
    <w:p w14:paraId="5ECCDACD" w14:textId="43022354" w:rsidR="0014552D" w:rsidRPr="001C64EB" w:rsidRDefault="0014552D" w:rsidP="00707D93">
      <w:pPr>
        <w:pStyle w:val="Default"/>
        <w:numPr>
          <w:ilvl w:val="0"/>
          <w:numId w:val="4"/>
        </w:numPr>
        <w:spacing w:line="360" w:lineRule="auto"/>
        <w:ind w:left="426" w:hanging="426"/>
        <w:jc w:val="both"/>
        <w:rPr>
          <w:rFonts w:ascii="Tahoma" w:hAnsi="Tahoma" w:cs="Tahoma"/>
          <w:color w:val="auto"/>
          <w:sz w:val="18"/>
          <w:szCs w:val="18"/>
        </w:rPr>
      </w:pPr>
      <w:r w:rsidRPr="001C64EB">
        <w:rPr>
          <w:rFonts w:ascii="Tahoma" w:hAnsi="Tahoma" w:cs="Tahoma"/>
          <w:color w:val="auto"/>
          <w:sz w:val="18"/>
          <w:szCs w:val="18"/>
        </w:rPr>
        <w:t>Z kontroli sporządzony zostanie pisemny dokument podsumowujący czynności kontrole zawierający co najmniej: informację kiedy kontrola się odbyła, kto ją przeprowadził i jaki był jej wynik.</w:t>
      </w:r>
    </w:p>
    <w:p w14:paraId="76B66BC8" w14:textId="2A5DCF38" w:rsidR="003803B4" w:rsidRPr="001C64EB" w:rsidRDefault="003803B4" w:rsidP="00707D93">
      <w:pPr>
        <w:pStyle w:val="Default"/>
        <w:numPr>
          <w:ilvl w:val="0"/>
          <w:numId w:val="4"/>
        </w:numPr>
        <w:spacing w:line="360" w:lineRule="auto"/>
        <w:ind w:left="426" w:hanging="426"/>
        <w:jc w:val="both"/>
        <w:rPr>
          <w:rFonts w:ascii="Tahoma" w:hAnsi="Tahoma" w:cs="Tahoma"/>
          <w:color w:val="auto"/>
          <w:sz w:val="18"/>
          <w:szCs w:val="18"/>
        </w:rPr>
      </w:pPr>
      <w:r w:rsidRPr="001C64EB">
        <w:rPr>
          <w:rFonts w:ascii="Tahoma" w:hAnsi="Tahoma" w:cs="Tahoma"/>
          <w:color w:val="auto"/>
          <w:sz w:val="18"/>
          <w:szCs w:val="18"/>
        </w:rPr>
        <w:t>Instytucja Zarządzająca, Instytucja Audytowa, przedstawiciele Komisji Europejskiej lub inne podmioty uprawnione do przeprowadzenia kontroli lub audytu na podstawie odrębnych przepisów mogą przeprowadzić kontrolę lub audyt po zakończeniu realizacji Projektu.</w:t>
      </w:r>
    </w:p>
    <w:p w14:paraId="28C609A7" w14:textId="12D47AF6" w:rsidR="003803B4" w:rsidRPr="001C64EB" w:rsidRDefault="003803B4" w:rsidP="00707D93">
      <w:pPr>
        <w:pStyle w:val="Default"/>
        <w:numPr>
          <w:ilvl w:val="0"/>
          <w:numId w:val="4"/>
        </w:numPr>
        <w:spacing w:line="360" w:lineRule="auto"/>
        <w:ind w:left="426" w:hanging="426"/>
        <w:jc w:val="both"/>
        <w:rPr>
          <w:rFonts w:ascii="Tahoma" w:hAnsi="Tahoma" w:cs="Tahoma"/>
          <w:color w:val="auto"/>
          <w:sz w:val="18"/>
          <w:szCs w:val="18"/>
        </w:rPr>
      </w:pPr>
      <w:r w:rsidRPr="001C64EB">
        <w:rPr>
          <w:rFonts w:ascii="Tahoma" w:hAnsi="Tahoma" w:cs="Tahoma"/>
          <w:color w:val="auto"/>
          <w:sz w:val="18"/>
          <w:szCs w:val="18"/>
        </w:rPr>
        <w:t xml:space="preserve">Jeżeli Projekt został poddany audytowi lub kontroli przez inny podmiot uprawniony do ich przeprowadzenia niż </w:t>
      </w:r>
      <w:proofErr w:type="spellStart"/>
      <w:r w:rsidR="0014552D" w:rsidRPr="001C64EB">
        <w:rPr>
          <w:rFonts w:ascii="Tahoma" w:hAnsi="Tahoma" w:cs="Tahoma"/>
          <w:color w:val="auto"/>
          <w:sz w:val="18"/>
          <w:szCs w:val="18"/>
        </w:rPr>
        <w:t>Grantodawca</w:t>
      </w:r>
      <w:proofErr w:type="spellEnd"/>
      <w:r w:rsidRPr="001C64EB">
        <w:rPr>
          <w:rFonts w:ascii="Tahoma" w:hAnsi="Tahoma" w:cs="Tahoma"/>
          <w:color w:val="auto"/>
          <w:sz w:val="18"/>
          <w:szCs w:val="18"/>
        </w:rPr>
        <w:t xml:space="preserve">, Beneficjent niezwłocznie po zakończenia kontroli lub audytu informuje o tym w formie pisemnej </w:t>
      </w:r>
      <w:proofErr w:type="spellStart"/>
      <w:r w:rsidR="0014552D" w:rsidRPr="001C64EB">
        <w:rPr>
          <w:rFonts w:ascii="Tahoma" w:hAnsi="Tahoma" w:cs="Tahoma"/>
          <w:color w:val="auto"/>
          <w:sz w:val="18"/>
          <w:szCs w:val="18"/>
        </w:rPr>
        <w:t>Grantodawcę</w:t>
      </w:r>
      <w:proofErr w:type="spellEnd"/>
      <w:r w:rsidRPr="001C64EB">
        <w:rPr>
          <w:rFonts w:ascii="Tahoma" w:hAnsi="Tahoma" w:cs="Tahoma"/>
          <w:color w:val="auto"/>
          <w:sz w:val="18"/>
          <w:szCs w:val="18"/>
        </w:rPr>
        <w:t xml:space="preserve">, a na żądanie </w:t>
      </w:r>
      <w:proofErr w:type="spellStart"/>
      <w:r w:rsidR="0014552D" w:rsidRPr="001C64EB">
        <w:rPr>
          <w:rFonts w:ascii="Tahoma" w:hAnsi="Tahoma" w:cs="Tahoma"/>
          <w:color w:val="auto"/>
          <w:sz w:val="18"/>
          <w:szCs w:val="18"/>
        </w:rPr>
        <w:t>Grantodawcy</w:t>
      </w:r>
      <w:proofErr w:type="spellEnd"/>
      <w:r w:rsidRPr="001C64EB">
        <w:rPr>
          <w:rFonts w:ascii="Tahoma" w:hAnsi="Tahoma" w:cs="Tahoma"/>
          <w:color w:val="auto"/>
          <w:sz w:val="18"/>
          <w:szCs w:val="18"/>
        </w:rPr>
        <w:t xml:space="preserve"> niezwłocznie przekazuje kopię dokumentu zawierającego wynik kontroli lub audytu, otrzymanych zaleceń pokontrolnych lub innych równoważnych dokumentów otrzymanych po przeprowadzonej kontroli lub audycie.</w:t>
      </w:r>
    </w:p>
    <w:p w14:paraId="63903C67" w14:textId="6C3804F6" w:rsidR="003A1B09" w:rsidRPr="001C64EB" w:rsidRDefault="00C60FA4" w:rsidP="003A1B09">
      <w:pPr>
        <w:pStyle w:val="Nagwek1"/>
        <w:rPr>
          <w:color w:val="auto"/>
        </w:rPr>
      </w:pPr>
      <w:bookmarkStart w:id="20" w:name="_Toc5139406"/>
      <w:bookmarkStart w:id="21" w:name="_Toc7251564"/>
      <w:r w:rsidRPr="001C64EB">
        <w:rPr>
          <w:color w:val="auto"/>
        </w:rPr>
        <w:t>13. </w:t>
      </w:r>
      <w:r w:rsidR="003A1B09" w:rsidRPr="001C64EB">
        <w:rPr>
          <w:color w:val="auto"/>
        </w:rPr>
        <w:t>Zasady dotyczące odzyskiwania grantów w przypadku ich wykorzystania niezgodnie z celami projektu grantowego</w:t>
      </w:r>
      <w:bookmarkEnd w:id="20"/>
      <w:bookmarkEnd w:id="21"/>
    </w:p>
    <w:p w14:paraId="3EC546C4" w14:textId="7CAB609A" w:rsidR="003A1B09" w:rsidRPr="001C64EB" w:rsidRDefault="003A1B09" w:rsidP="00707D93">
      <w:pPr>
        <w:pStyle w:val="Akapitzlist"/>
        <w:numPr>
          <w:ilvl w:val="0"/>
          <w:numId w:val="5"/>
        </w:numPr>
        <w:rPr>
          <w:rFonts w:cs="Tahoma"/>
          <w:b/>
          <w:szCs w:val="18"/>
        </w:rPr>
      </w:pPr>
      <w:r w:rsidRPr="001C64EB">
        <w:rPr>
          <w:rFonts w:cs="Tahoma"/>
          <w:szCs w:val="18"/>
        </w:rPr>
        <w:t xml:space="preserve">Zasady dotyczące odzyskiwania Grantów stanowią zapisy Umowy o powierzenie grantu dotyczące zobowiązania </w:t>
      </w:r>
      <w:proofErr w:type="spellStart"/>
      <w:r w:rsidRPr="001C64EB">
        <w:rPr>
          <w:rFonts w:cs="Tahoma"/>
          <w:szCs w:val="18"/>
        </w:rPr>
        <w:t>Grantobiorcy</w:t>
      </w:r>
      <w:proofErr w:type="spellEnd"/>
      <w:r w:rsidRPr="001C64EB">
        <w:rPr>
          <w:rFonts w:cs="Tahoma"/>
          <w:szCs w:val="18"/>
        </w:rPr>
        <w:t xml:space="preserve"> do zwrotu środków w przypadku rozwiązania Umowy. </w:t>
      </w:r>
    </w:p>
    <w:p w14:paraId="58271C85" w14:textId="77777777" w:rsidR="00BA40FA" w:rsidRPr="001C64EB" w:rsidRDefault="00BA40FA" w:rsidP="00BA40FA">
      <w:pPr>
        <w:pStyle w:val="Akapitzlist"/>
        <w:numPr>
          <w:ilvl w:val="0"/>
          <w:numId w:val="5"/>
        </w:numPr>
        <w:rPr>
          <w:rFonts w:cs="Tahoma"/>
          <w:szCs w:val="18"/>
        </w:rPr>
      </w:pPr>
      <w:r w:rsidRPr="001C64EB">
        <w:rPr>
          <w:rFonts w:cs="Tahoma"/>
          <w:szCs w:val="18"/>
        </w:rPr>
        <w:t xml:space="preserve">Jeżeli zostanie stwierdzone, że </w:t>
      </w:r>
      <w:proofErr w:type="spellStart"/>
      <w:r w:rsidRPr="001C64EB">
        <w:rPr>
          <w:rFonts w:cs="Tahoma"/>
          <w:szCs w:val="18"/>
        </w:rPr>
        <w:t>Grantobiorca</w:t>
      </w:r>
      <w:proofErr w:type="spellEnd"/>
      <w:r w:rsidRPr="001C64EB">
        <w:rPr>
          <w:rFonts w:cs="Tahoma"/>
          <w:szCs w:val="18"/>
        </w:rPr>
        <w:t xml:space="preserve"> wykorzystał całość lub część Grantu niezgodnie z przeznaczeniem, z naruszeniem zasad opisanych w Umowie o powierzeniu Grant, właściwych Wytycznych, Regulaminu konkursu, zaakceptowanym Wniosku o Grant, lub pobrał całość lub część Grantu w sposób nienależny albo w </w:t>
      </w:r>
      <w:r w:rsidRPr="001C64EB">
        <w:rPr>
          <w:rFonts w:cs="Tahoma"/>
          <w:szCs w:val="18"/>
        </w:rPr>
        <w:lastRenderedPageBreak/>
        <w:t xml:space="preserve">nadmiernej wysokości, </w:t>
      </w:r>
      <w:proofErr w:type="spellStart"/>
      <w:r w:rsidRPr="001C64EB">
        <w:rPr>
          <w:rFonts w:cs="Tahoma"/>
          <w:szCs w:val="18"/>
        </w:rPr>
        <w:t>Grantobiorca</w:t>
      </w:r>
      <w:proofErr w:type="spellEnd"/>
      <w:r w:rsidRPr="001C64EB">
        <w:rPr>
          <w:rFonts w:cs="Tahoma"/>
          <w:szCs w:val="18"/>
        </w:rPr>
        <w:t xml:space="preserve"> zobowiązany jest do zwrotu tych środków wraz z odsetkami w wysokości określonej jak dla zaległości podatkowych liczonych od dnia wypłaty Grantu na wezwanie </w:t>
      </w:r>
      <w:proofErr w:type="spellStart"/>
      <w:r w:rsidRPr="001C64EB">
        <w:rPr>
          <w:rFonts w:cs="Tahoma"/>
          <w:szCs w:val="18"/>
        </w:rPr>
        <w:t>Grantodawcy</w:t>
      </w:r>
      <w:proofErr w:type="spellEnd"/>
      <w:r w:rsidRPr="001C64EB">
        <w:rPr>
          <w:rFonts w:cs="Tahoma"/>
          <w:szCs w:val="18"/>
        </w:rPr>
        <w:t>.</w:t>
      </w:r>
    </w:p>
    <w:p w14:paraId="3138A41F" w14:textId="77777777" w:rsidR="003A1B09" w:rsidRPr="001C64EB" w:rsidRDefault="003A1B09" w:rsidP="00707D93">
      <w:pPr>
        <w:pStyle w:val="Akapitzlist"/>
        <w:numPr>
          <w:ilvl w:val="0"/>
          <w:numId w:val="5"/>
        </w:numPr>
        <w:rPr>
          <w:rFonts w:cs="Tahoma"/>
          <w:b/>
          <w:szCs w:val="18"/>
        </w:rPr>
      </w:pPr>
      <w:r w:rsidRPr="001C64EB">
        <w:rPr>
          <w:rFonts w:cs="Tahoma"/>
          <w:szCs w:val="18"/>
        </w:rPr>
        <w:t xml:space="preserve">Zwrot Grantu lub jego części nastąpi na pisemne wezwanie </w:t>
      </w:r>
      <w:proofErr w:type="spellStart"/>
      <w:r w:rsidRPr="001C64EB">
        <w:rPr>
          <w:rFonts w:cs="Tahoma"/>
          <w:szCs w:val="18"/>
        </w:rPr>
        <w:t>Grantodawcy</w:t>
      </w:r>
      <w:proofErr w:type="spellEnd"/>
      <w:r w:rsidRPr="001C64EB">
        <w:rPr>
          <w:rFonts w:cs="Tahoma"/>
          <w:szCs w:val="18"/>
        </w:rPr>
        <w:t xml:space="preserve"> w terminie 14 dni na wskazany przez niego rachunek bankowy.</w:t>
      </w:r>
    </w:p>
    <w:p w14:paraId="5A1DB1C6" w14:textId="66C5DF6A" w:rsidR="003A1B09" w:rsidRPr="001C64EB" w:rsidRDefault="00CE72AB" w:rsidP="00707D93">
      <w:pPr>
        <w:pStyle w:val="Akapitzlist"/>
        <w:numPr>
          <w:ilvl w:val="0"/>
          <w:numId w:val="5"/>
        </w:numPr>
        <w:rPr>
          <w:rFonts w:cs="Tahoma"/>
          <w:szCs w:val="18"/>
        </w:rPr>
      </w:pPr>
      <w:r w:rsidRPr="001C64EB">
        <w:rPr>
          <w:rFonts w:cs="Tahoma"/>
          <w:szCs w:val="18"/>
        </w:rPr>
        <w:t xml:space="preserve">W sytuacji wystąpienia z przesłanek opisanych w pkt 2 </w:t>
      </w:r>
      <w:proofErr w:type="spellStart"/>
      <w:r w:rsidRPr="001C64EB">
        <w:rPr>
          <w:rFonts w:cs="Tahoma"/>
          <w:szCs w:val="18"/>
        </w:rPr>
        <w:t>Grantodawca</w:t>
      </w:r>
      <w:proofErr w:type="spellEnd"/>
      <w:r w:rsidRPr="001C64EB">
        <w:rPr>
          <w:rFonts w:cs="Tahoma"/>
          <w:szCs w:val="18"/>
        </w:rPr>
        <w:t xml:space="preserve"> wezwie </w:t>
      </w:r>
      <w:proofErr w:type="spellStart"/>
      <w:r w:rsidRPr="001C64EB">
        <w:rPr>
          <w:rFonts w:cs="Tahoma"/>
          <w:szCs w:val="18"/>
        </w:rPr>
        <w:t>Grantobiorcę</w:t>
      </w:r>
      <w:proofErr w:type="spellEnd"/>
      <w:r w:rsidRPr="001C64EB">
        <w:rPr>
          <w:rFonts w:cs="Tahoma"/>
          <w:szCs w:val="18"/>
        </w:rPr>
        <w:t xml:space="preserve"> do zwrotu tej części grantu, która odpowiada przedmiotowemu naruszeniu wraz z należnymi odsetkami.</w:t>
      </w:r>
    </w:p>
    <w:p w14:paraId="4039DEE8" w14:textId="1D793E3C" w:rsidR="003A1B09" w:rsidRPr="001C64EB" w:rsidRDefault="003A1B09" w:rsidP="00707D93">
      <w:pPr>
        <w:pStyle w:val="Akapitzlist"/>
        <w:numPr>
          <w:ilvl w:val="0"/>
          <w:numId w:val="5"/>
        </w:numPr>
        <w:rPr>
          <w:rFonts w:cs="Tahoma"/>
          <w:b/>
          <w:szCs w:val="18"/>
        </w:rPr>
      </w:pPr>
      <w:r w:rsidRPr="001C64EB">
        <w:rPr>
          <w:rFonts w:cs="Tahoma"/>
          <w:szCs w:val="18"/>
        </w:rPr>
        <w:t xml:space="preserve">Udokumentowane wydatki poniesione na czynności </w:t>
      </w:r>
      <w:proofErr w:type="spellStart"/>
      <w:r w:rsidRPr="001C64EB">
        <w:rPr>
          <w:rFonts w:cs="Tahoma"/>
          <w:szCs w:val="18"/>
        </w:rPr>
        <w:t>Grantodawcy</w:t>
      </w:r>
      <w:proofErr w:type="spellEnd"/>
      <w:r w:rsidRPr="001C64EB">
        <w:rPr>
          <w:rFonts w:cs="Tahoma"/>
          <w:szCs w:val="18"/>
        </w:rPr>
        <w:t xml:space="preserve"> zmierzające do odzyskania dofinansowania, wykorzystanego niezgodnie z przeznaczeniem, bez zachowania obowiązujących procedur lub pobranego w całości lub części w sposób nienależny albo w nadmiernej wysokości, </w:t>
      </w:r>
      <w:r w:rsidR="00AC6B4D" w:rsidRPr="001C64EB">
        <w:rPr>
          <w:rFonts w:cs="Tahoma"/>
          <w:szCs w:val="18"/>
        </w:rPr>
        <w:t>obciążą</w:t>
      </w:r>
      <w:r w:rsidRPr="001C64EB">
        <w:rPr>
          <w:rFonts w:cs="Tahoma"/>
          <w:szCs w:val="18"/>
        </w:rPr>
        <w:t xml:space="preserve"> w całości </w:t>
      </w:r>
      <w:proofErr w:type="spellStart"/>
      <w:r w:rsidRPr="001C64EB">
        <w:rPr>
          <w:rFonts w:cs="Tahoma"/>
          <w:szCs w:val="18"/>
        </w:rPr>
        <w:t>Grantobiorcę</w:t>
      </w:r>
      <w:proofErr w:type="spellEnd"/>
      <w:r w:rsidRPr="001C64EB">
        <w:rPr>
          <w:rFonts w:cs="Tahoma"/>
          <w:szCs w:val="18"/>
        </w:rPr>
        <w:t>.</w:t>
      </w:r>
    </w:p>
    <w:p w14:paraId="07294C4B" w14:textId="77777777" w:rsidR="003A1B09" w:rsidRPr="001C64EB" w:rsidRDefault="003A1B09" w:rsidP="00707D93">
      <w:pPr>
        <w:pStyle w:val="Akapitzlist"/>
        <w:numPr>
          <w:ilvl w:val="0"/>
          <w:numId w:val="5"/>
        </w:numPr>
        <w:rPr>
          <w:rFonts w:cs="Tahoma"/>
          <w:b/>
          <w:szCs w:val="18"/>
        </w:rPr>
      </w:pPr>
      <w:r w:rsidRPr="001C64EB">
        <w:rPr>
          <w:rFonts w:cs="Tahoma"/>
          <w:szCs w:val="18"/>
        </w:rPr>
        <w:t xml:space="preserve">Do egzekucji należności mają zastosowanie przepisy o postępowaniu egzekucyjnym w administracji. Do odpowiedzialności solidarnej za zobowiązania z tytułu należności stosuje się przepisy Kodeksu cywilnego. Do spraw dotyczących należności nieuregulowanych Ustawą wdrożeniową oraz ustawą o finansach publicznych, stosuje się przepisy Kodeksu postępowania administracyjnego i odpowiednio przepisy działu III Ordynacji podatkowej. </w:t>
      </w:r>
    </w:p>
    <w:p w14:paraId="56607CD6" w14:textId="7A339E10" w:rsidR="003A1B09" w:rsidRPr="001C64EB" w:rsidRDefault="003A1B09" w:rsidP="00707D93">
      <w:pPr>
        <w:pStyle w:val="Akapitzlist"/>
        <w:numPr>
          <w:ilvl w:val="0"/>
          <w:numId w:val="5"/>
        </w:numPr>
        <w:rPr>
          <w:rFonts w:cs="Tahoma"/>
          <w:b/>
          <w:szCs w:val="18"/>
        </w:rPr>
      </w:pPr>
      <w:r w:rsidRPr="001C64EB">
        <w:rPr>
          <w:rFonts w:cs="Tahoma"/>
          <w:szCs w:val="18"/>
        </w:rPr>
        <w:t xml:space="preserve">W przypadku braku zwrotu środków w określonym przez </w:t>
      </w:r>
      <w:proofErr w:type="spellStart"/>
      <w:r w:rsidRPr="001C64EB">
        <w:rPr>
          <w:rFonts w:cs="Tahoma"/>
          <w:szCs w:val="18"/>
        </w:rPr>
        <w:t>Grantodawcę</w:t>
      </w:r>
      <w:proofErr w:type="spellEnd"/>
      <w:r w:rsidRPr="001C64EB">
        <w:rPr>
          <w:rFonts w:cs="Tahoma"/>
          <w:szCs w:val="18"/>
        </w:rPr>
        <w:t xml:space="preserve"> w wezwaniu terminie i wysokości, </w:t>
      </w:r>
      <w:proofErr w:type="spellStart"/>
      <w:r w:rsidRPr="001C64EB">
        <w:rPr>
          <w:rFonts w:cs="Tahoma"/>
          <w:szCs w:val="18"/>
        </w:rPr>
        <w:t>Grantodawca</w:t>
      </w:r>
      <w:proofErr w:type="spellEnd"/>
      <w:r w:rsidRPr="001C64EB">
        <w:rPr>
          <w:rFonts w:cs="Tahoma"/>
          <w:szCs w:val="18"/>
        </w:rPr>
        <w:t xml:space="preserve"> podejmuje czynności zmierzające do odzyskania części lub całości Grantu ze złożonego przez </w:t>
      </w:r>
      <w:proofErr w:type="spellStart"/>
      <w:r w:rsidRPr="001C64EB">
        <w:rPr>
          <w:rFonts w:cs="Tahoma"/>
          <w:szCs w:val="18"/>
        </w:rPr>
        <w:t>Grantodawcę</w:t>
      </w:r>
      <w:proofErr w:type="spellEnd"/>
      <w:r w:rsidRPr="001C64EB">
        <w:rPr>
          <w:rFonts w:cs="Tahoma"/>
          <w:szCs w:val="18"/>
        </w:rPr>
        <w:t xml:space="preserve"> zabezpieczenia należytego wykonania zobowiązań wynikających z Umowy. </w:t>
      </w:r>
    </w:p>
    <w:p w14:paraId="410F3984" w14:textId="3C4570E2" w:rsidR="00383F17" w:rsidRPr="001C64EB" w:rsidRDefault="00C60FA4" w:rsidP="00AC6B4D">
      <w:pPr>
        <w:pStyle w:val="Nagwek1"/>
        <w:rPr>
          <w:color w:val="auto"/>
        </w:rPr>
      </w:pPr>
      <w:bookmarkStart w:id="22" w:name="_Toc7251565"/>
      <w:r w:rsidRPr="001C64EB">
        <w:rPr>
          <w:color w:val="auto"/>
        </w:rPr>
        <w:t>14. </w:t>
      </w:r>
      <w:r w:rsidR="00AC6B4D" w:rsidRPr="001C64EB">
        <w:rPr>
          <w:color w:val="auto"/>
        </w:rPr>
        <w:t>Załączniki</w:t>
      </w:r>
      <w:bookmarkEnd w:id="22"/>
    </w:p>
    <w:p w14:paraId="5352F8F8" w14:textId="01EDA552" w:rsidR="00637AE3" w:rsidRPr="001C64EB" w:rsidRDefault="00637AE3" w:rsidP="00707D93">
      <w:pPr>
        <w:pStyle w:val="Akapitzlist"/>
        <w:numPr>
          <w:ilvl w:val="0"/>
          <w:numId w:val="17"/>
        </w:numPr>
        <w:rPr>
          <w:rFonts w:cs="Tahoma"/>
          <w:szCs w:val="18"/>
        </w:rPr>
      </w:pPr>
      <w:r w:rsidRPr="001C64EB">
        <w:rPr>
          <w:rFonts w:cs="Tahoma"/>
          <w:szCs w:val="18"/>
        </w:rPr>
        <w:t xml:space="preserve">Załącznik nr 1 Wzór wniosku o grant </w:t>
      </w:r>
    </w:p>
    <w:p w14:paraId="392F0017" w14:textId="2E876ECF" w:rsidR="00637AE3" w:rsidRPr="001C64EB" w:rsidRDefault="00637AE3" w:rsidP="00707D93">
      <w:pPr>
        <w:pStyle w:val="Akapitzlist"/>
        <w:numPr>
          <w:ilvl w:val="0"/>
          <w:numId w:val="17"/>
        </w:numPr>
        <w:rPr>
          <w:rFonts w:cs="Tahoma"/>
          <w:szCs w:val="18"/>
        </w:rPr>
      </w:pPr>
      <w:r w:rsidRPr="001C64EB">
        <w:rPr>
          <w:rFonts w:cs="Tahoma"/>
          <w:szCs w:val="18"/>
        </w:rPr>
        <w:t>Załącznik nr 2</w:t>
      </w:r>
      <w:r w:rsidR="00BB7BEF">
        <w:rPr>
          <w:rFonts w:cs="Tahoma"/>
          <w:szCs w:val="18"/>
        </w:rPr>
        <w:t xml:space="preserve"> Instrukcja wypełniania wniosku</w:t>
      </w:r>
    </w:p>
    <w:p w14:paraId="6928D725" w14:textId="72CC2BA3" w:rsidR="00CA494A" w:rsidRPr="001C64EB" w:rsidRDefault="00CA494A" w:rsidP="00707D93">
      <w:pPr>
        <w:pStyle w:val="Akapitzlist"/>
        <w:numPr>
          <w:ilvl w:val="0"/>
          <w:numId w:val="17"/>
        </w:numPr>
        <w:rPr>
          <w:rFonts w:cs="Tahoma"/>
          <w:szCs w:val="18"/>
        </w:rPr>
      </w:pPr>
      <w:r w:rsidRPr="001C64EB">
        <w:rPr>
          <w:rFonts w:cs="Tahoma"/>
          <w:szCs w:val="18"/>
        </w:rPr>
        <w:t xml:space="preserve">Załącznik nr 3 Wzór umowy </w:t>
      </w:r>
      <w:r w:rsidR="00BB7BEF">
        <w:rPr>
          <w:rFonts w:cs="Tahoma"/>
          <w:szCs w:val="18"/>
        </w:rPr>
        <w:t>o powierzenie grantu</w:t>
      </w:r>
    </w:p>
    <w:p w14:paraId="084353EF" w14:textId="1381764F" w:rsidR="00CA494A" w:rsidRPr="001C64EB" w:rsidRDefault="00CA494A" w:rsidP="00707D93">
      <w:pPr>
        <w:pStyle w:val="Akapitzlist"/>
        <w:numPr>
          <w:ilvl w:val="0"/>
          <w:numId w:val="17"/>
        </w:numPr>
        <w:rPr>
          <w:rFonts w:cs="Tahoma"/>
          <w:szCs w:val="18"/>
        </w:rPr>
      </w:pPr>
      <w:r w:rsidRPr="001C64EB">
        <w:rPr>
          <w:rFonts w:cs="Tahoma"/>
          <w:szCs w:val="18"/>
        </w:rPr>
        <w:t xml:space="preserve">Załącznik nr 4 Kryteria </w:t>
      </w:r>
      <w:r w:rsidR="00BB7BEF">
        <w:rPr>
          <w:rFonts w:cs="Tahoma"/>
          <w:szCs w:val="18"/>
        </w:rPr>
        <w:t xml:space="preserve">wyboru </w:t>
      </w:r>
      <w:proofErr w:type="spellStart"/>
      <w:r w:rsidR="00BB7BEF">
        <w:rPr>
          <w:rFonts w:cs="Tahoma"/>
          <w:szCs w:val="18"/>
        </w:rPr>
        <w:t>Grantobiorców</w:t>
      </w:r>
      <w:proofErr w:type="spellEnd"/>
    </w:p>
    <w:p w14:paraId="54A9C6A4" w14:textId="0928B666" w:rsidR="00637AE3" w:rsidRPr="001C64EB" w:rsidRDefault="00637AE3" w:rsidP="00707D93">
      <w:pPr>
        <w:pStyle w:val="Akapitzlist"/>
        <w:numPr>
          <w:ilvl w:val="0"/>
          <w:numId w:val="17"/>
        </w:numPr>
        <w:rPr>
          <w:rFonts w:cs="Tahoma"/>
          <w:szCs w:val="18"/>
        </w:rPr>
      </w:pPr>
      <w:r w:rsidRPr="001C64EB">
        <w:rPr>
          <w:rFonts w:cs="Tahoma"/>
          <w:szCs w:val="18"/>
        </w:rPr>
        <w:t xml:space="preserve">Załącznik nr </w:t>
      </w:r>
      <w:r w:rsidR="00CA494A" w:rsidRPr="001C64EB">
        <w:rPr>
          <w:rFonts w:cs="Tahoma"/>
          <w:szCs w:val="18"/>
        </w:rPr>
        <w:t>5</w:t>
      </w:r>
      <w:r w:rsidRPr="001C64EB">
        <w:rPr>
          <w:rFonts w:cs="Tahoma"/>
          <w:szCs w:val="18"/>
        </w:rPr>
        <w:t xml:space="preserve"> Wytyczne dotyczące wyboru wykonawcy przez </w:t>
      </w:r>
      <w:proofErr w:type="spellStart"/>
      <w:r w:rsidRPr="001C64EB">
        <w:rPr>
          <w:rFonts w:cs="Tahoma"/>
          <w:szCs w:val="18"/>
        </w:rPr>
        <w:t>Grantobiorcę</w:t>
      </w:r>
      <w:proofErr w:type="spellEnd"/>
    </w:p>
    <w:sectPr w:rsidR="00637AE3" w:rsidRPr="001C64EB">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0B7484" w16cid:durableId="206EA5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0AE4C" w14:textId="77777777" w:rsidR="00AF0581" w:rsidRDefault="00AF0581" w:rsidP="00F40C52">
      <w:pPr>
        <w:spacing w:line="240" w:lineRule="auto"/>
      </w:pPr>
      <w:r>
        <w:separator/>
      </w:r>
    </w:p>
  </w:endnote>
  <w:endnote w:type="continuationSeparator" w:id="0">
    <w:p w14:paraId="46EA436F" w14:textId="77777777" w:rsidR="00AF0581" w:rsidRDefault="00AF0581" w:rsidP="00F40C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000000" w:themeColor="text1"/>
        <w:sz w:val="12"/>
      </w:rPr>
      <w:id w:val="-788667842"/>
      <w:docPartObj>
        <w:docPartGallery w:val="Page Numbers (Bottom of Page)"/>
        <w:docPartUnique/>
      </w:docPartObj>
    </w:sdtPr>
    <w:sdtEndPr/>
    <w:sdtContent>
      <w:p w14:paraId="3ED1FAB4" w14:textId="3FEFBE60" w:rsidR="004E199D" w:rsidRPr="005A6187" w:rsidRDefault="004E199D">
        <w:pPr>
          <w:pStyle w:val="Stopka"/>
          <w:pBdr>
            <w:top w:val="single" w:sz="4" w:space="1" w:color="D9D9D9" w:themeColor="background1" w:themeShade="D9"/>
          </w:pBdr>
          <w:jc w:val="right"/>
          <w:rPr>
            <w:b/>
            <w:color w:val="000000" w:themeColor="text1"/>
            <w:sz w:val="12"/>
          </w:rPr>
        </w:pPr>
        <w:r w:rsidRPr="005A6187">
          <w:rPr>
            <w:b/>
            <w:color w:val="000000" w:themeColor="text1"/>
            <w:sz w:val="12"/>
          </w:rPr>
          <w:fldChar w:fldCharType="begin"/>
        </w:r>
        <w:r w:rsidRPr="005A6187">
          <w:rPr>
            <w:b/>
            <w:color w:val="000000" w:themeColor="text1"/>
            <w:sz w:val="12"/>
          </w:rPr>
          <w:instrText>PAGE   \* MERGEFORMAT</w:instrText>
        </w:r>
        <w:r w:rsidRPr="005A6187">
          <w:rPr>
            <w:b/>
            <w:color w:val="000000" w:themeColor="text1"/>
            <w:sz w:val="12"/>
          </w:rPr>
          <w:fldChar w:fldCharType="separate"/>
        </w:r>
        <w:r w:rsidR="0037437F">
          <w:rPr>
            <w:b/>
            <w:noProof/>
            <w:color w:val="000000" w:themeColor="text1"/>
            <w:sz w:val="12"/>
          </w:rPr>
          <w:t>20</w:t>
        </w:r>
        <w:r w:rsidRPr="005A6187">
          <w:rPr>
            <w:b/>
            <w:color w:val="000000" w:themeColor="text1"/>
            <w:sz w:val="12"/>
          </w:rPr>
          <w:fldChar w:fldCharType="end"/>
        </w:r>
        <w:r w:rsidRPr="005A6187">
          <w:rPr>
            <w:b/>
            <w:color w:val="000000" w:themeColor="text1"/>
            <w:sz w:val="12"/>
          </w:rPr>
          <w:t xml:space="preserve"> | Strona</w:t>
        </w:r>
      </w:p>
    </w:sdtContent>
  </w:sdt>
  <w:p w14:paraId="425D6917" w14:textId="77777777" w:rsidR="004E199D" w:rsidRPr="005A6187" w:rsidRDefault="004E199D">
    <w:pPr>
      <w:pStyle w:val="Stopka"/>
      <w:rPr>
        <w:b/>
        <w:color w:val="000000" w:themeColor="text1"/>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83BD6" w14:textId="77777777" w:rsidR="00AF0581" w:rsidRDefault="00AF0581" w:rsidP="00F40C52">
      <w:pPr>
        <w:spacing w:line="240" w:lineRule="auto"/>
      </w:pPr>
      <w:r>
        <w:separator/>
      </w:r>
    </w:p>
  </w:footnote>
  <w:footnote w:type="continuationSeparator" w:id="0">
    <w:p w14:paraId="77D27FBE" w14:textId="77777777" w:rsidR="00AF0581" w:rsidRDefault="00AF0581" w:rsidP="00F40C52">
      <w:pPr>
        <w:spacing w:line="240" w:lineRule="auto"/>
      </w:pPr>
      <w:r>
        <w:continuationSeparator/>
      </w:r>
    </w:p>
  </w:footnote>
  <w:footnote w:id="1">
    <w:p w14:paraId="663F4F20" w14:textId="77777777" w:rsidR="00792620" w:rsidRPr="0046626F" w:rsidRDefault="00792620" w:rsidP="00792620">
      <w:pPr>
        <w:pStyle w:val="Tekstprzypisudolnego"/>
        <w:rPr>
          <w:sz w:val="16"/>
          <w:szCs w:val="16"/>
        </w:rPr>
      </w:pPr>
      <w:r w:rsidRPr="00C67508">
        <w:rPr>
          <w:rStyle w:val="Odwoanieprzypisudolnego"/>
          <w:sz w:val="16"/>
        </w:rPr>
        <w:footnoteRef/>
      </w:r>
      <w:r w:rsidRPr="00C67508">
        <w:rPr>
          <w:sz w:val="16"/>
        </w:rPr>
        <w:t xml:space="preserve"> </w:t>
      </w:r>
      <w:r w:rsidRPr="00161874">
        <w:rPr>
          <w:sz w:val="16"/>
        </w:rPr>
        <w:t>art. 35 ustawy z dnia 11 lipca 2014 r. o zasadach realizacji programów w zakresie polityki spójności finansowanych w perspektywie finansowej 2014-2020</w:t>
      </w:r>
      <w:r>
        <w:rPr>
          <w:sz w:val="16"/>
        </w:rPr>
        <w:t xml:space="preserve"> </w:t>
      </w:r>
    </w:p>
  </w:footnote>
  <w:footnote w:id="2">
    <w:p w14:paraId="25CB5E76" w14:textId="77777777" w:rsidR="00792620" w:rsidRPr="0046626F" w:rsidRDefault="00792620" w:rsidP="00792620">
      <w:pPr>
        <w:pStyle w:val="Tekstprzypisudolnego"/>
        <w:rPr>
          <w:sz w:val="16"/>
          <w:szCs w:val="16"/>
        </w:rPr>
      </w:pPr>
      <w:r w:rsidRPr="0046626F">
        <w:rPr>
          <w:rStyle w:val="Odwoanieprzypisudolnego"/>
          <w:sz w:val="16"/>
          <w:szCs w:val="16"/>
        </w:rPr>
        <w:footnoteRef/>
      </w:r>
      <w:r w:rsidRPr="0046626F">
        <w:rPr>
          <w:sz w:val="16"/>
          <w:szCs w:val="16"/>
        </w:rPr>
        <w:t xml:space="preserve"> </w:t>
      </w:r>
      <w:r w:rsidRPr="00705634">
        <w:rPr>
          <w:sz w:val="16"/>
          <w:szCs w:val="16"/>
        </w:rPr>
        <w:t>podmiot publiczny lub prywatny, odpowiedzialne za inicjowanie lub zarówno inicjowanie, jak i wdrażanie operacji</w:t>
      </w:r>
      <w:r>
        <w:rPr>
          <w:sz w:val="16"/>
          <w:szCs w:val="16"/>
        </w:rPr>
        <w:t xml:space="preserve"> </w:t>
      </w:r>
      <w:r w:rsidRPr="00705634">
        <w:rPr>
          <w:sz w:val="16"/>
          <w:szCs w:val="16"/>
        </w:rPr>
        <w:t>będąc</w:t>
      </w:r>
      <w:r>
        <w:rPr>
          <w:sz w:val="16"/>
          <w:szCs w:val="16"/>
        </w:rPr>
        <w:t>y</w:t>
      </w:r>
      <w:r w:rsidRPr="00705634">
        <w:rPr>
          <w:sz w:val="16"/>
          <w:szCs w:val="16"/>
        </w:rPr>
        <w:t xml:space="preserve"> stroną Umowy o dofinansowanie Projektu</w:t>
      </w:r>
      <w:r>
        <w:rPr>
          <w:sz w:val="16"/>
          <w:szCs w:val="16"/>
        </w:rPr>
        <w:t>,</w:t>
      </w:r>
      <w:r w:rsidRPr="00705634">
        <w:rPr>
          <w:sz w:val="16"/>
          <w:szCs w:val="16"/>
        </w:rPr>
        <w:t xml:space="preserve"> który będzie udzielał grantów (</w:t>
      </w:r>
      <w:proofErr w:type="spellStart"/>
      <w:r w:rsidRPr="00705634">
        <w:rPr>
          <w:sz w:val="16"/>
          <w:szCs w:val="16"/>
        </w:rPr>
        <w:t>Grantodawca</w:t>
      </w:r>
      <w:proofErr w:type="spellEnd"/>
      <w:r w:rsidRPr="00705634">
        <w:rPr>
          <w:sz w:val="16"/>
          <w:szCs w:val="16"/>
        </w:rPr>
        <w:t xml:space="preserve">), na realizację zadania służącego osiągnięciu celu tego Projektu przez </w:t>
      </w:r>
      <w:proofErr w:type="spellStart"/>
      <w:r w:rsidRPr="00705634">
        <w:rPr>
          <w:sz w:val="16"/>
          <w:szCs w:val="16"/>
        </w:rPr>
        <w:t>Grantobiorców</w:t>
      </w:r>
      <w:proofErr w:type="spellEnd"/>
      <w:r w:rsidRPr="00705634" w:rsidDel="00705634">
        <w:rPr>
          <w:sz w:val="16"/>
          <w:szCs w:val="16"/>
        </w:rPr>
        <w:t xml:space="preserve"> </w:t>
      </w:r>
    </w:p>
  </w:footnote>
  <w:footnote w:id="3">
    <w:p w14:paraId="05F3948F" w14:textId="77777777" w:rsidR="00792620" w:rsidRPr="000A5E94" w:rsidRDefault="00792620" w:rsidP="00792620">
      <w:pPr>
        <w:pStyle w:val="Tekstprzypisudolnego"/>
        <w:rPr>
          <w:sz w:val="16"/>
          <w:szCs w:val="16"/>
        </w:rPr>
      </w:pPr>
      <w:r w:rsidRPr="000A5E94">
        <w:rPr>
          <w:rStyle w:val="Znakiprzypiswdolnych"/>
          <w:sz w:val="16"/>
          <w:szCs w:val="16"/>
          <w:vertAlign w:val="superscript"/>
        </w:rPr>
        <w:footnoteRef/>
      </w:r>
      <w:r w:rsidRPr="000A5E94">
        <w:rPr>
          <w:sz w:val="16"/>
          <w:szCs w:val="16"/>
        </w:rPr>
        <w:t xml:space="preserve"> określonych w środkach wykonawczych do dyrektywy 2009/125/WE  z dnia 21 października 2009 r. ustanawiającej ogólne zasady ustalania wymogów dotyczących </w:t>
      </w:r>
      <w:proofErr w:type="spellStart"/>
      <w:r w:rsidRPr="000A5E94">
        <w:rPr>
          <w:sz w:val="16"/>
          <w:szCs w:val="16"/>
        </w:rPr>
        <w:t>ekoprojektu</w:t>
      </w:r>
      <w:proofErr w:type="spellEnd"/>
      <w:r w:rsidRPr="000A5E94">
        <w:rPr>
          <w:sz w:val="16"/>
          <w:szCs w:val="16"/>
        </w:rPr>
        <w:t xml:space="preserve"> dla produktów związanych z energią.</w:t>
      </w:r>
    </w:p>
  </w:footnote>
  <w:footnote w:id="4">
    <w:p w14:paraId="6C96F48F" w14:textId="77777777" w:rsidR="00792620" w:rsidRDefault="00792620" w:rsidP="00792620">
      <w:pPr>
        <w:pStyle w:val="Tekstprzypisudolnego"/>
      </w:pPr>
      <w:r w:rsidRPr="000A5E94">
        <w:rPr>
          <w:rStyle w:val="Znakiprzypiswdolnych"/>
          <w:sz w:val="16"/>
          <w:szCs w:val="16"/>
          <w:vertAlign w:val="superscript"/>
        </w:rPr>
        <w:footnoteRef/>
      </w:r>
      <w:r w:rsidRPr="000A5E94">
        <w:rPr>
          <w:sz w:val="16"/>
          <w:szCs w:val="16"/>
        </w:rPr>
        <w:t xml:space="preserve"> w</w:t>
      </w:r>
      <w:r>
        <w:rPr>
          <w:sz w:val="16"/>
          <w:szCs w:val="16"/>
        </w:rPr>
        <w:t>edług normy PN-EN 303-5:2012</w:t>
      </w:r>
    </w:p>
  </w:footnote>
  <w:footnote w:id="5">
    <w:p w14:paraId="7630FE25" w14:textId="77777777" w:rsidR="00792620" w:rsidRPr="0046626F" w:rsidRDefault="00792620" w:rsidP="00792620">
      <w:pPr>
        <w:spacing w:line="240" w:lineRule="auto"/>
        <w:rPr>
          <w:rFonts w:eastAsia="Times New Roman" w:cs="Times New Roman"/>
          <w:sz w:val="16"/>
          <w:szCs w:val="16"/>
        </w:rPr>
      </w:pPr>
      <w:r w:rsidRPr="0046626F">
        <w:rPr>
          <w:rStyle w:val="Odwoanieprzypisudolnego"/>
          <w:sz w:val="16"/>
          <w:szCs w:val="16"/>
        </w:rPr>
        <w:footnoteRef/>
      </w:r>
      <w:r w:rsidRPr="0046626F">
        <w:rPr>
          <w:sz w:val="16"/>
          <w:szCs w:val="16"/>
        </w:rPr>
        <w:t xml:space="preserve"> Zgodnie z </w:t>
      </w:r>
      <w:r>
        <w:rPr>
          <w:sz w:val="16"/>
          <w:szCs w:val="16"/>
        </w:rPr>
        <w:t xml:space="preserve">definicją </w:t>
      </w:r>
      <w:r w:rsidRPr="0046626F">
        <w:rPr>
          <w:sz w:val="16"/>
          <w:szCs w:val="16"/>
        </w:rPr>
        <w:t xml:space="preserve">ustawy </w:t>
      </w:r>
      <w:r>
        <w:rPr>
          <w:sz w:val="16"/>
          <w:szCs w:val="16"/>
        </w:rPr>
        <w:t xml:space="preserve">z </w:t>
      </w:r>
      <w:r w:rsidRPr="0046626F">
        <w:rPr>
          <w:rFonts w:eastAsia="Times New Roman" w:cs="Times New Roman"/>
          <w:sz w:val="16"/>
          <w:szCs w:val="16"/>
        </w:rPr>
        <w:t xml:space="preserve">dnia 20 lutego 2015 r. </w:t>
      </w:r>
      <w:r w:rsidRPr="0046626F">
        <w:rPr>
          <w:rFonts w:eastAsia="Times New Roman" w:cs="Times New Roman"/>
          <w:bCs/>
          <w:sz w:val="16"/>
          <w:szCs w:val="16"/>
        </w:rPr>
        <w:t>o odnawialnych źródłach energii</w:t>
      </w:r>
      <w:r>
        <w:rPr>
          <w:rFonts w:eastAsia="Times New Roman" w:cs="Times New Roman"/>
          <w:bCs/>
          <w:sz w:val="16"/>
          <w:szCs w:val="16"/>
        </w:rPr>
        <w:t xml:space="preserve"> </w:t>
      </w:r>
    </w:p>
    <w:p w14:paraId="5092B65E" w14:textId="77777777" w:rsidR="00792620" w:rsidRPr="0046626F" w:rsidRDefault="00792620" w:rsidP="00792620">
      <w:pPr>
        <w:spacing w:line="240" w:lineRule="auto"/>
        <w:rPr>
          <w:rFonts w:eastAsia="Times New Roman" w:cs="Times New Roman"/>
          <w:sz w:val="16"/>
          <w:szCs w:val="16"/>
        </w:rPr>
      </w:pPr>
    </w:p>
  </w:footnote>
  <w:footnote w:id="6">
    <w:p w14:paraId="48E04338" w14:textId="77777777" w:rsidR="00361E72" w:rsidRPr="00EE161F" w:rsidRDefault="00361E72" w:rsidP="00361E72">
      <w:pPr>
        <w:pStyle w:val="Tekstprzypisudolnego"/>
        <w:rPr>
          <w:rFonts w:cs="Tahoma"/>
          <w:sz w:val="14"/>
          <w:szCs w:val="14"/>
        </w:rPr>
      </w:pPr>
      <w:r w:rsidRPr="00EE161F">
        <w:rPr>
          <w:rStyle w:val="Odwoanieprzypisudolnego"/>
          <w:rFonts w:cs="Tahoma"/>
          <w:sz w:val="14"/>
          <w:szCs w:val="14"/>
        </w:rPr>
        <w:footnoteRef/>
      </w:r>
      <w:r w:rsidRPr="00EE161F">
        <w:rPr>
          <w:rFonts w:cs="Tahoma"/>
          <w:sz w:val="14"/>
          <w:szCs w:val="14"/>
        </w:rPr>
        <w:t xml:space="preserve"> w rozumieniu ustawy</w:t>
      </w:r>
      <w:r w:rsidRPr="00EE161F">
        <w:rPr>
          <w:rFonts w:cs="Tahoma"/>
          <w:b/>
          <w:sz w:val="14"/>
          <w:szCs w:val="14"/>
        </w:rPr>
        <w:t xml:space="preserve"> </w:t>
      </w:r>
      <w:r w:rsidRPr="00EE161F">
        <w:rPr>
          <w:rFonts w:cs="Tahoma"/>
          <w:sz w:val="14"/>
          <w:szCs w:val="14"/>
        </w:rPr>
        <w:t>o odnawialnych źródłach energii</w:t>
      </w:r>
    </w:p>
  </w:footnote>
  <w:footnote w:id="7">
    <w:p w14:paraId="4597A80D" w14:textId="77777777" w:rsidR="004E199D" w:rsidRPr="00EE161F" w:rsidRDefault="004E199D" w:rsidP="00EE161F">
      <w:pPr>
        <w:pStyle w:val="Tekstprzypisudolnego"/>
        <w:rPr>
          <w:rFonts w:cs="Tahoma"/>
          <w:sz w:val="14"/>
          <w:szCs w:val="14"/>
        </w:rPr>
      </w:pPr>
      <w:r w:rsidRPr="00EE161F">
        <w:rPr>
          <w:rStyle w:val="Odwoanieprzypisudolnego"/>
          <w:rFonts w:cs="Tahoma"/>
          <w:sz w:val="14"/>
          <w:szCs w:val="14"/>
        </w:rPr>
        <w:footnoteRef/>
      </w:r>
      <w:r w:rsidRPr="00EE161F">
        <w:rPr>
          <w:rFonts w:cs="Tahoma"/>
          <w:sz w:val="14"/>
          <w:szCs w:val="14"/>
        </w:rPr>
        <w:t xml:space="preserve"> w rozumieniu ustawy o odnawialnych źródłach energii</w:t>
      </w:r>
    </w:p>
  </w:footnote>
  <w:footnote w:id="8">
    <w:p w14:paraId="6616E305" w14:textId="77777777" w:rsidR="004E199D" w:rsidRPr="00EE161F" w:rsidRDefault="004E199D" w:rsidP="00EE161F">
      <w:pPr>
        <w:autoSpaceDE w:val="0"/>
        <w:autoSpaceDN w:val="0"/>
        <w:adjustRightInd w:val="0"/>
        <w:spacing w:line="240" w:lineRule="auto"/>
        <w:rPr>
          <w:rFonts w:cs="Tahoma"/>
          <w:sz w:val="14"/>
          <w:szCs w:val="14"/>
        </w:rPr>
      </w:pPr>
      <w:r w:rsidRPr="00EE161F">
        <w:rPr>
          <w:rStyle w:val="Odwoanieprzypisudolnego"/>
          <w:rFonts w:cs="Tahoma"/>
          <w:sz w:val="14"/>
          <w:szCs w:val="14"/>
        </w:rPr>
        <w:footnoteRef/>
      </w:r>
      <w:r w:rsidRPr="00EE161F">
        <w:rPr>
          <w:rFonts w:cs="Tahoma"/>
          <w:sz w:val="14"/>
          <w:szCs w:val="14"/>
        </w:rPr>
        <w:t xml:space="preserve">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 ze zmianami;</w:t>
      </w:r>
    </w:p>
  </w:footnote>
  <w:footnote w:id="9">
    <w:p w14:paraId="17103107" w14:textId="77777777" w:rsidR="004E199D" w:rsidRPr="00EE161F" w:rsidRDefault="004E199D" w:rsidP="00EE161F">
      <w:pPr>
        <w:autoSpaceDE w:val="0"/>
        <w:autoSpaceDN w:val="0"/>
        <w:adjustRightInd w:val="0"/>
        <w:spacing w:line="240" w:lineRule="auto"/>
        <w:rPr>
          <w:rFonts w:cs="Tahoma"/>
          <w:sz w:val="14"/>
          <w:szCs w:val="14"/>
        </w:rPr>
      </w:pPr>
      <w:r w:rsidRPr="00EE161F">
        <w:rPr>
          <w:rStyle w:val="Odwoanieprzypisudolnego"/>
          <w:rFonts w:cs="Tahoma"/>
          <w:sz w:val="14"/>
          <w:szCs w:val="14"/>
        </w:rPr>
        <w:footnoteRef/>
      </w:r>
      <w:r w:rsidRPr="00EE161F">
        <w:rPr>
          <w:rFonts w:cs="Tahoma"/>
          <w:sz w:val="14"/>
          <w:szCs w:val="14"/>
        </w:rPr>
        <w:t xml:space="preserve"> Ustawa z dnia 11 lipca 2014 r. o zasadach realizacji programów w zakresie polityki spójności finansowanych w perspektywie finansowej 2014-2020 (Dz. U. z 2018 r. poz. 1431 z </w:t>
      </w:r>
      <w:proofErr w:type="spellStart"/>
      <w:r w:rsidRPr="00EE161F">
        <w:rPr>
          <w:rFonts w:cs="Tahoma"/>
          <w:sz w:val="14"/>
          <w:szCs w:val="14"/>
        </w:rPr>
        <w:t>późn</w:t>
      </w:r>
      <w:proofErr w:type="spellEnd"/>
      <w:r w:rsidRPr="00EE161F">
        <w:rPr>
          <w:rFonts w:cs="Tahoma"/>
          <w:sz w:val="14"/>
          <w:szCs w:val="14"/>
        </w:rPr>
        <w:t>.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9EAD7" w14:textId="1BD4678E" w:rsidR="00883607" w:rsidRDefault="00BB7BEF" w:rsidP="00883607">
    <w:pPr>
      <w:pStyle w:val="Nagwek"/>
      <w:jc w:val="center"/>
    </w:pPr>
    <w:r w:rsidRPr="00FD4CE9">
      <w:rPr>
        <w:noProof/>
        <w:lang w:eastAsia="pl-PL"/>
      </w:rPr>
      <w:drawing>
        <wp:inline distT="0" distB="0" distL="0" distR="0" wp14:anchorId="17BDEDD8" wp14:editId="6C5A3356">
          <wp:extent cx="5618480" cy="586740"/>
          <wp:effectExtent l="0" t="0" r="127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8480"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3EF7"/>
    <w:multiLevelType w:val="hybridMultilevel"/>
    <w:tmpl w:val="BA221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E031B9"/>
    <w:multiLevelType w:val="multilevel"/>
    <w:tmpl w:val="1108A2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234F3C"/>
    <w:multiLevelType w:val="hybridMultilevel"/>
    <w:tmpl w:val="04FEE330"/>
    <w:lvl w:ilvl="0" w:tplc="04150017">
      <w:start w:val="1"/>
      <w:numFmt w:val="lowerLetter"/>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3" w15:restartNumberingAfterBreak="0">
    <w:nsid w:val="136C3ABD"/>
    <w:multiLevelType w:val="multilevel"/>
    <w:tmpl w:val="582E790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D5768C"/>
    <w:multiLevelType w:val="multilevel"/>
    <w:tmpl w:val="9692E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6A610B"/>
    <w:multiLevelType w:val="multilevel"/>
    <w:tmpl w:val="121284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350E01"/>
    <w:multiLevelType w:val="multilevel"/>
    <w:tmpl w:val="E586EDC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A2454E"/>
    <w:multiLevelType w:val="hybridMultilevel"/>
    <w:tmpl w:val="15D4B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AF7F44"/>
    <w:multiLevelType w:val="hybridMultilevel"/>
    <w:tmpl w:val="30B63A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900B7D"/>
    <w:multiLevelType w:val="hybridMultilevel"/>
    <w:tmpl w:val="CA5CE096"/>
    <w:lvl w:ilvl="0" w:tplc="032601CC">
      <w:start w:val="1"/>
      <w:numFmt w:val="lowerLetter"/>
      <w:lvlText w:val="%1)"/>
      <w:lvlJc w:val="left"/>
      <w:pPr>
        <w:ind w:left="15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6017F5"/>
    <w:multiLevelType w:val="hybridMultilevel"/>
    <w:tmpl w:val="6DF6199E"/>
    <w:lvl w:ilvl="0" w:tplc="176CFCAE">
      <w:start w:val="1"/>
      <w:numFmt w:val="lowerLetter"/>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DA76CDE"/>
    <w:multiLevelType w:val="multilevel"/>
    <w:tmpl w:val="2780B7B0"/>
    <w:lvl w:ilvl="0">
      <w:start w:val="8"/>
      <w:numFmt w:val="decimal"/>
      <w:lvlText w:val="%1."/>
      <w:lvlJc w:val="left"/>
      <w:pPr>
        <w:ind w:left="400" w:hanging="400"/>
      </w:pPr>
      <w:rPr>
        <w:rFonts w:hint="default"/>
        <w:b w:val="0"/>
      </w:rPr>
    </w:lvl>
    <w:lvl w:ilvl="1">
      <w:start w:val="1"/>
      <w:numFmt w:val="decimal"/>
      <w:lvlText w:val="%1.%2."/>
      <w:lvlJc w:val="left"/>
      <w:pPr>
        <w:ind w:left="826"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42004482"/>
    <w:multiLevelType w:val="multilevel"/>
    <w:tmpl w:val="DD3A99F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235FCA"/>
    <w:multiLevelType w:val="hybridMultilevel"/>
    <w:tmpl w:val="030AE0E8"/>
    <w:lvl w:ilvl="0" w:tplc="FE0A90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C56754"/>
    <w:multiLevelType w:val="multilevel"/>
    <w:tmpl w:val="DB700EFE"/>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heme="minorHAnsi" w:hAnsi="Arial" w:cs="Arial"/>
        <w:b w:val="0"/>
        <w:color w:val="auto"/>
      </w:rPr>
    </w:lvl>
    <w:lvl w:ilvl="2">
      <w:start w:val="1"/>
      <w:numFmt w:val="decimal"/>
      <w:lvlText w:val="%1.%2.%3."/>
      <w:lvlJc w:val="left"/>
      <w:pPr>
        <w:ind w:left="1224" w:hanging="504"/>
      </w:pPr>
      <w:rPr>
        <w:rFonts w:hint="default"/>
        <w:b w:val="0"/>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1C31FF"/>
    <w:multiLevelType w:val="hybridMultilevel"/>
    <w:tmpl w:val="7020D54E"/>
    <w:lvl w:ilvl="0" w:tplc="0C7AFE8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034E7B"/>
    <w:multiLevelType w:val="hybridMultilevel"/>
    <w:tmpl w:val="248E9CF2"/>
    <w:lvl w:ilvl="0" w:tplc="04150017">
      <w:start w:val="1"/>
      <w:numFmt w:val="lowerLetter"/>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7" w15:restartNumberingAfterBreak="0">
    <w:nsid w:val="505A5C08"/>
    <w:multiLevelType w:val="hybridMultilevel"/>
    <w:tmpl w:val="D1762CF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8" w15:restartNumberingAfterBreak="0">
    <w:nsid w:val="50936FF9"/>
    <w:multiLevelType w:val="hybridMultilevel"/>
    <w:tmpl w:val="F2D0995A"/>
    <w:lvl w:ilvl="0" w:tplc="011E2128">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9" w15:restartNumberingAfterBreak="0">
    <w:nsid w:val="558E64F8"/>
    <w:multiLevelType w:val="multilevel"/>
    <w:tmpl w:val="DA1609A4"/>
    <w:lvl w:ilvl="0">
      <w:start w:val="1"/>
      <w:numFmt w:val="decimal"/>
      <w:lvlText w:val="%1."/>
      <w:lvlJc w:val="left"/>
      <w:pPr>
        <w:ind w:left="400" w:hanging="400"/>
      </w:pPr>
      <w:rPr>
        <w:rFonts w:hint="default"/>
        <w:b w:val="0"/>
      </w:rPr>
    </w:lvl>
    <w:lvl w:ilvl="1">
      <w:start w:val="11"/>
      <w:numFmt w:val="decimal"/>
      <w:lvlText w:val="%1.%2."/>
      <w:lvlJc w:val="left"/>
      <w:pPr>
        <w:ind w:left="826"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59D57A0E"/>
    <w:multiLevelType w:val="hybridMultilevel"/>
    <w:tmpl w:val="8D206D6E"/>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1" w15:restartNumberingAfterBreak="0">
    <w:nsid w:val="5B2B53E3"/>
    <w:multiLevelType w:val="hybridMultilevel"/>
    <w:tmpl w:val="C4F6BED6"/>
    <w:lvl w:ilvl="0" w:tplc="011E2128">
      <w:start w:val="1"/>
      <w:numFmt w:val="bullet"/>
      <w:lvlText w:val=""/>
      <w:lvlJc w:val="left"/>
      <w:pPr>
        <w:ind w:left="1840" w:hanging="360"/>
      </w:pPr>
      <w:rPr>
        <w:rFonts w:ascii="Symbol" w:hAnsi="Symbol" w:hint="default"/>
      </w:rPr>
    </w:lvl>
    <w:lvl w:ilvl="1" w:tplc="04150003" w:tentative="1">
      <w:start w:val="1"/>
      <w:numFmt w:val="bullet"/>
      <w:lvlText w:val="o"/>
      <w:lvlJc w:val="left"/>
      <w:pPr>
        <w:ind w:left="2560" w:hanging="360"/>
      </w:pPr>
      <w:rPr>
        <w:rFonts w:ascii="Courier New" w:hAnsi="Courier New" w:cs="Courier New" w:hint="default"/>
      </w:rPr>
    </w:lvl>
    <w:lvl w:ilvl="2" w:tplc="04150005" w:tentative="1">
      <w:start w:val="1"/>
      <w:numFmt w:val="bullet"/>
      <w:lvlText w:val=""/>
      <w:lvlJc w:val="left"/>
      <w:pPr>
        <w:ind w:left="3280" w:hanging="360"/>
      </w:pPr>
      <w:rPr>
        <w:rFonts w:ascii="Wingdings" w:hAnsi="Wingdings" w:hint="default"/>
      </w:rPr>
    </w:lvl>
    <w:lvl w:ilvl="3" w:tplc="04150001" w:tentative="1">
      <w:start w:val="1"/>
      <w:numFmt w:val="bullet"/>
      <w:lvlText w:val=""/>
      <w:lvlJc w:val="left"/>
      <w:pPr>
        <w:ind w:left="4000" w:hanging="360"/>
      </w:pPr>
      <w:rPr>
        <w:rFonts w:ascii="Symbol" w:hAnsi="Symbol" w:hint="default"/>
      </w:rPr>
    </w:lvl>
    <w:lvl w:ilvl="4" w:tplc="04150003" w:tentative="1">
      <w:start w:val="1"/>
      <w:numFmt w:val="bullet"/>
      <w:lvlText w:val="o"/>
      <w:lvlJc w:val="left"/>
      <w:pPr>
        <w:ind w:left="4720" w:hanging="360"/>
      </w:pPr>
      <w:rPr>
        <w:rFonts w:ascii="Courier New" w:hAnsi="Courier New" w:cs="Courier New" w:hint="default"/>
      </w:rPr>
    </w:lvl>
    <w:lvl w:ilvl="5" w:tplc="04150005" w:tentative="1">
      <w:start w:val="1"/>
      <w:numFmt w:val="bullet"/>
      <w:lvlText w:val=""/>
      <w:lvlJc w:val="left"/>
      <w:pPr>
        <w:ind w:left="5440" w:hanging="360"/>
      </w:pPr>
      <w:rPr>
        <w:rFonts w:ascii="Wingdings" w:hAnsi="Wingdings" w:hint="default"/>
      </w:rPr>
    </w:lvl>
    <w:lvl w:ilvl="6" w:tplc="04150001" w:tentative="1">
      <w:start w:val="1"/>
      <w:numFmt w:val="bullet"/>
      <w:lvlText w:val=""/>
      <w:lvlJc w:val="left"/>
      <w:pPr>
        <w:ind w:left="6160" w:hanging="360"/>
      </w:pPr>
      <w:rPr>
        <w:rFonts w:ascii="Symbol" w:hAnsi="Symbol" w:hint="default"/>
      </w:rPr>
    </w:lvl>
    <w:lvl w:ilvl="7" w:tplc="04150003" w:tentative="1">
      <w:start w:val="1"/>
      <w:numFmt w:val="bullet"/>
      <w:lvlText w:val="o"/>
      <w:lvlJc w:val="left"/>
      <w:pPr>
        <w:ind w:left="6880" w:hanging="360"/>
      </w:pPr>
      <w:rPr>
        <w:rFonts w:ascii="Courier New" w:hAnsi="Courier New" w:cs="Courier New" w:hint="default"/>
      </w:rPr>
    </w:lvl>
    <w:lvl w:ilvl="8" w:tplc="04150005" w:tentative="1">
      <w:start w:val="1"/>
      <w:numFmt w:val="bullet"/>
      <w:lvlText w:val=""/>
      <w:lvlJc w:val="left"/>
      <w:pPr>
        <w:ind w:left="7600" w:hanging="360"/>
      </w:pPr>
      <w:rPr>
        <w:rFonts w:ascii="Wingdings" w:hAnsi="Wingdings" w:hint="default"/>
      </w:rPr>
    </w:lvl>
  </w:abstractNum>
  <w:abstractNum w:abstractNumId="22" w15:restartNumberingAfterBreak="0">
    <w:nsid w:val="5F98178E"/>
    <w:multiLevelType w:val="hybridMultilevel"/>
    <w:tmpl w:val="CA301DEA"/>
    <w:lvl w:ilvl="0" w:tplc="011E2128">
      <w:start w:val="1"/>
      <w:numFmt w:val="bullet"/>
      <w:lvlText w:val=""/>
      <w:lvlJc w:val="left"/>
      <w:pPr>
        <w:ind w:left="2232" w:hanging="360"/>
      </w:pPr>
      <w:rPr>
        <w:rFonts w:ascii="Symbol" w:hAnsi="Symbol" w:hint="default"/>
      </w:rPr>
    </w:lvl>
    <w:lvl w:ilvl="1" w:tplc="04150003" w:tentative="1">
      <w:start w:val="1"/>
      <w:numFmt w:val="bullet"/>
      <w:lvlText w:val="o"/>
      <w:lvlJc w:val="left"/>
      <w:pPr>
        <w:ind w:left="2952" w:hanging="360"/>
      </w:pPr>
      <w:rPr>
        <w:rFonts w:ascii="Courier New" w:hAnsi="Courier New" w:cs="Courier New" w:hint="default"/>
      </w:rPr>
    </w:lvl>
    <w:lvl w:ilvl="2" w:tplc="04150005" w:tentative="1">
      <w:start w:val="1"/>
      <w:numFmt w:val="bullet"/>
      <w:lvlText w:val=""/>
      <w:lvlJc w:val="left"/>
      <w:pPr>
        <w:ind w:left="3672" w:hanging="360"/>
      </w:pPr>
      <w:rPr>
        <w:rFonts w:ascii="Wingdings" w:hAnsi="Wingdings" w:hint="default"/>
      </w:rPr>
    </w:lvl>
    <w:lvl w:ilvl="3" w:tplc="04150001" w:tentative="1">
      <w:start w:val="1"/>
      <w:numFmt w:val="bullet"/>
      <w:lvlText w:val=""/>
      <w:lvlJc w:val="left"/>
      <w:pPr>
        <w:ind w:left="4392" w:hanging="360"/>
      </w:pPr>
      <w:rPr>
        <w:rFonts w:ascii="Symbol" w:hAnsi="Symbol" w:hint="default"/>
      </w:rPr>
    </w:lvl>
    <w:lvl w:ilvl="4" w:tplc="04150003" w:tentative="1">
      <w:start w:val="1"/>
      <w:numFmt w:val="bullet"/>
      <w:lvlText w:val="o"/>
      <w:lvlJc w:val="left"/>
      <w:pPr>
        <w:ind w:left="5112" w:hanging="360"/>
      </w:pPr>
      <w:rPr>
        <w:rFonts w:ascii="Courier New" w:hAnsi="Courier New" w:cs="Courier New" w:hint="default"/>
      </w:rPr>
    </w:lvl>
    <w:lvl w:ilvl="5" w:tplc="04150005" w:tentative="1">
      <w:start w:val="1"/>
      <w:numFmt w:val="bullet"/>
      <w:lvlText w:val=""/>
      <w:lvlJc w:val="left"/>
      <w:pPr>
        <w:ind w:left="5832" w:hanging="360"/>
      </w:pPr>
      <w:rPr>
        <w:rFonts w:ascii="Wingdings" w:hAnsi="Wingdings" w:hint="default"/>
      </w:rPr>
    </w:lvl>
    <w:lvl w:ilvl="6" w:tplc="04150001" w:tentative="1">
      <w:start w:val="1"/>
      <w:numFmt w:val="bullet"/>
      <w:lvlText w:val=""/>
      <w:lvlJc w:val="left"/>
      <w:pPr>
        <w:ind w:left="6552" w:hanging="360"/>
      </w:pPr>
      <w:rPr>
        <w:rFonts w:ascii="Symbol" w:hAnsi="Symbol" w:hint="default"/>
      </w:rPr>
    </w:lvl>
    <w:lvl w:ilvl="7" w:tplc="04150003" w:tentative="1">
      <w:start w:val="1"/>
      <w:numFmt w:val="bullet"/>
      <w:lvlText w:val="o"/>
      <w:lvlJc w:val="left"/>
      <w:pPr>
        <w:ind w:left="7272" w:hanging="360"/>
      </w:pPr>
      <w:rPr>
        <w:rFonts w:ascii="Courier New" w:hAnsi="Courier New" w:cs="Courier New" w:hint="default"/>
      </w:rPr>
    </w:lvl>
    <w:lvl w:ilvl="8" w:tplc="04150005" w:tentative="1">
      <w:start w:val="1"/>
      <w:numFmt w:val="bullet"/>
      <w:lvlText w:val=""/>
      <w:lvlJc w:val="left"/>
      <w:pPr>
        <w:ind w:left="7992" w:hanging="360"/>
      </w:pPr>
      <w:rPr>
        <w:rFonts w:ascii="Wingdings" w:hAnsi="Wingdings" w:hint="default"/>
      </w:rPr>
    </w:lvl>
  </w:abstractNum>
  <w:abstractNum w:abstractNumId="23" w15:restartNumberingAfterBreak="0">
    <w:nsid w:val="63022275"/>
    <w:multiLevelType w:val="hybridMultilevel"/>
    <w:tmpl w:val="35F6B012"/>
    <w:lvl w:ilvl="0" w:tplc="545E1FFE">
      <w:start w:val="1"/>
      <w:numFmt w:val="lowerLetter"/>
      <w:lvlText w:val="%1)"/>
      <w:lvlJc w:val="left"/>
      <w:pPr>
        <w:ind w:left="15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FA02A4"/>
    <w:multiLevelType w:val="multilevel"/>
    <w:tmpl w:val="5DCCD3A0"/>
    <w:lvl w:ilvl="0">
      <w:start w:val="1"/>
      <w:numFmt w:val="decimal"/>
      <w:lvlText w:val="%1."/>
      <w:lvlJc w:val="left"/>
      <w:pPr>
        <w:ind w:left="360" w:hanging="360"/>
      </w:pPr>
      <w:rPr>
        <w:rFonts w:ascii="Arial" w:eastAsiaTheme="minorHAnsi" w:hAnsi="Arial" w:cs="Arial"/>
      </w:rPr>
    </w:lvl>
    <w:lvl w:ilvl="1">
      <w:start w:val="1"/>
      <w:numFmt w:val="decimal"/>
      <w:lvlText w:val="%2."/>
      <w:lvlJc w:val="left"/>
      <w:pPr>
        <w:ind w:left="792" w:hanging="432"/>
      </w:pPr>
      <w:rPr>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6A3F1C"/>
    <w:multiLevelType w:val="multilevel"/>
    <w:tmpl w:val="17E651F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EF74A39"/>
    <w:multiLevelType w:val="hybridMultilevel"/>
    <w:tmpl w:val="5C020F72"/>
    <w:lvl w:ilvl="0" w:tplc="011E2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F7945F1"/>
    <w:multiLevelType w:val="multilevel"/>
    <w:tmpl w:val="B338E1F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heme="minorHAnsi" w:hAnsi="Arial" w:cs="Arial"/>
        <w:b w:val="0"/>
        <w:color w:val="auto"/>
      </w:rPr>
    </w:lvl>
    <w:lvl w:ilvl="2">
      <w:start w:val="1"/>
      <w:numFmt w:val="decimal"/>
      <w:lvlText w:val="%1.%2.%3."/>
      <w:lvlJc w:val="left"/>
      <w:pPr>
        <w:ind w:left="1224" w:hanging="504"/>
      </w:pPr>
      <w:rPr>
        <w:rFonts w:hint="default"/>
        <w:b w:val="0"/>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B80723"/>
    <w:multiLevelType w:val="hybridMultilevel"/>
    <w:tmpl w:val="FC3C1932"/>
    <w:lvl w:ilvl="0" w:tplc="011E21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10653F9"/>
    <w:multiLevelType w:val="hybridMultilevel"/>
    <w:tmpl w:val="80EE9318"/>
    <w:lvl w:ilvl="0" w:tplc="F3E07866">
      <w:start w:val="1"/>
      <w:numFmt w:val="bullet"/>
      <w:lvlText w:val="–"/>
      <w:lvlJc w:val="left"/>
      <w:pPr>
        <w:ind w:left="360" w:hanging="360"/>
      </w:pPr>
      <w:rPr>
        <w:rFonts w:ascii="Calibri" w:hAnsi="Calibri" w:hint="default"/>
      </w:rPr>
    </w:lvl>
    <w:lvl w:ilvl="1" w:tplc="04150019">
      <w:start w:val="1"/>
      <w:numFmt w:val="lowerLetter"/>
      <w:lvlText w:val="%2."/>
      <w:lvlJc w:val="left"/>
      <w:pPr>
        <w:ind w:left="1080" w:hanging="360"/>
      </w:pPr>
    </w:lvl>
    <w:lvl w:ilvl="2" w:tplc="53EC09CA">
      <w:start w:val="2"/>
      <w:numFmt w:val="decimal"/>
      <w:lvlText w:val="%3)"/>
      <w:lvlJc w:val="left"/>
      <w:pPr>
        <w:ind w:left="1980" w:hanging="360"/>
      </w:pPr>
      <w:rPr>
        <w:rFonts w:ascii="Calibri" w:hAnsi="Calibri" w:cstheme="minorBidi" w:hint="default"/>
        <w:color w:val="auto"/>
      </w:rPr>
    </w:lvl>
    <w:lvl w:ilvl="3" w:tplc="68F049B0">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82A471D"/>
    <w:multiLevelType w:val="multilevel"/>
    <w:tmpl w:val="D102E33C"/>
    <w:lvl w:ilvl="0">
      <w:start w:val="7"/>
      <w:numFmt w:val="decimal"/>
      <w:lvlText w:val="%1."/>
      <w:lvlJc w:val="left"/>
      <w:pPr>
        <w:ind w:left="400" w:hanging="400"/>
      </w:pPr>
      <w:rPr>
        <w:rFonts w:hint="default"/>
        <w:b w:val="0"/>
      </w:rPr>
    </w:lvl>
    <w:lvl w:ilvl="1">
      <w:start w:val="1"/>
      <w:numFmt w:val="decimal"/>
      <w:lvlText w:val="%1.%2."/>
      <w:lvlJc w:val="left"/>
      <w:pPr>
        <w:ind w:left="826"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1" w15:restartNumberingAfterBreak="0">
    <w:nsid w:val="7A36478D"/>
    <w:multiLevelType w:val="hybridMultilevel"/>
    <w:tmpl w:val="BF00F450"/>
    <w:lvl w:ilvl="0" w:tplc="7A1E6C14">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2" w15:restartNumberingAfterBreak="0">
    <w:nsid w:val="7B92728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5324E1"/>
    <w:multiLevelType w:val="multilevel"/>
    <w:tmpl w:val="9BA0E028"/>
    <w:lvl w:ilvl="0">
      <w:start w:val="5"/>
      <w:numFmt w:val="decimal"/>
      <w:lvlText w:val="%1."/>
      <w:lvlJc w:val="left"/>
      <w:pPr>
        <w:ind w:left="400" w:hanging="400"/>
      </w:pPr>
      <w:rPr>
        <w:rFonts w:hint="default"/>
        <w:b w:val="0"/>
      </w:rPr>
    </w:lvl>
    <w:lvl w:ilvl="1">
      <w:start w:val="1"/>
      <w:numFmt w:val="decimal"/>
      <w:lvlText w:val="%1.%2."/>
      <w:lvlJc w:val="left"/>
      <w:pPr>
        <w:ind w:left="826"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28"/>
  </w:num>
  <w:num w:numId="2">
    <w:abstractNumId w:val="18"/>
  </w:num>
  <w:num w:numId="3">
    <w:abstractNumId w:val="29"/>
  </w:num>
  <w:num w:numId="4">
    <w:abstractNumId w:val="32"/>
  </w:num>
  <w:num w:numId="5">
    <w:abstractNumId w:val="3"/>
  </w:num>
  <w:num w:numId="6">
    <w:abstractNumId w:val="27"/>
  </w:num>
  <w:num w:numId="7">
    <w:abstractNumId w:val="12"/>
  </w:num>
  <w:num w:numId="8">
    <w:abstractNumId w:val="14"/>
  </w:num>
  <w:num w:numId="9">
    <w:abstractNumId w:val="19"/>
  </w:num>
  <w:num w:numId="10">
    <w:abstractNumId w:val="16"/>
  </w:num>
  <w:num w:numId="11">
    <w:abstractNumId w:val="2"/>
  </w:num>
  <w:num w:numId="12">
    <w:abstractNumId w:val="21"/>
  </w:num>
  <w:num w:numId="13">
    <w:abstractNumId w:val="33"/>
  </w:num>
  <w:num w:numId="14">
    <w:abstractNumId w:val="26"/>
  </w:num>
  <w:num w:numId="15">
    <w:abstractNumId w:val="30"/>
  </w:num>
  <w:num w:numId="16">
    <w:abstractNumId w:val="31"/>
  </w:num>
  <w:num w:numId="17">
    <w:abstractNumId w:val="25"/>
  </w:num>
  <w:num w:numId="18">
    <w:abstractNumId w:val="5"/>
  </w:num>
  <w:num w:numId="19">
    <w:abstractNumId w:val="4"/>
  </w:num>
  <w:num w:numId="20">
    <w:abstractNumId w:val="13"/>
  </w:num>
  <w:num w:numId="21">
    <w:abstractNumId w:val="6"/>
  </w:num>
  <w:num w:numId="22">
    <w:abstractNumId w:val="20"/>
  </w:num>
  <w:num w:numId="23">
    <w:abstractNumId w:val="22"/>
  </w:num>
  <w:num w:numId="24">
    <w:abstractNumId w:val="9"/>
  </w:num>
  <w:num w:numId="25">
    <w:abstractNumId w:val="23"/>
  </w:num>
  <w:num w:numId="26">
    <w:abstractNumId w:val="10"/>
  </w:num>
  <w:num w:numId="27">
    <w:abstractNumId w:val="24"/>
  </w:num>
  <w:num w:numId="28">
    <w:abstractNumId w:val="1"/>
  </w:num>
  <w:num w:numId="29">
    <w:abstractNumId w:val="15"/>
  </w:num>
  <w:num w:numId="30">
    <w:abstractNumId w:val="0"/>
  </w:num>
  <w:num w:numId="31">
    <w:abstractNumId w:val="8"/>
  </w:num>
  <w:num w:numId="32">
    <w:abstractNumId w:val="7"/>
  </w:num>
  <w:num w:numId="33">
    <w:abstractNumId w:val="17"/>
  </w:num>
  <w:num w:numId="34">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53"/>
    <w:rsid w:val="00025F99"/>
    <w:rsid w:val="00033F24"/>
    <w:rsid w:val="00062AA3"/>
    <w:rsid w:val="00062C90"/>
    <w:rsid w:val="0006441A"/>
    <w:rsid w:val="000A5C3D"/>
    <w:rsid w:val="000B7CB8"/>
    <w:rsid w:val="000C4EF3"/>
    <w:rsid w:val="000C57D0"/>
    <w:rsid w:val="000D5C22"/>
    <w:rsid w:val="000E42D9"/>
    <w:rsid w:val="0010404D"/>
    <w:rsid w:val="00126B1C"/>
    <w:rsid w:val="0014552D"/>
    <w:rsid w:val="00146BB1"/>
    <w:rsid w:val="00151A69"/>
    <w:rsid w:val="00172484"/>
    <w:rsid w:val="001771AC"/>
    <w:rsid w:val="0019642A"/>
    <w:rsid w:val="001A5322"/>
    <w:rsid w:val="001A7926"/>
    <w:rsid w:val="001B1C81"/>
    <w:rsid w:val="001C347A"/>
    <w:rsid w:val="001C64EB"/>
    <w:rsid w:val="002052E1"/>
    <w:rsid w:val="002065AC"/>
    <w:rsid w:val="00244DC4"/>
    <w:rsid w:val="00250AE3"/>
    <w:rsid w:val="002631BD"/>
    <w:rsid w:val="00263ADF"/>
    <w:rsid w:val="002A12FB"/>
    <w:rsid w:val="002C2BC4"/>
    <w:rsid w:val="002E2A6B"/>
    <w:rsid w:val="002E5130"/>
    <w:rsid w:val="00325743"/>
    <w:rsid w:val="003276EB"/>
    <w:rsid w:val="00330EED"/>
    <w:rsid w:val="00331667"/>
    <w:rsid w:val="00340DAA"/>
    <w:rsid w:val="0034468E"/>
    <w:rsid w:val="003543DD"/>
    <w:rsid w:val="00361E72"/>
    <w:rsid w:val="0036562F"/>
    <w:rsid w:val="003661CC"/>
    <w:rsid w:val="00370BF8"/>
    <w:rsid w:val="0037437F"/>
    <w:rsid w:val="003803B4"/>
    <w:rsid w:val="00383F17"/>
    <w:rsid w:val="003972E0"/>
    <w:rsid w:val="003A1B09"/>
    <w:rsid w:val="003A64D1"/>
    <w:rsid w:val="00401FAE"/>
    <w:rsid w:val="00402846"/>
    <w:rsid w:val="00412E8B"/>
    <w:rsid w:val="00497A60"/>
    <w:rsid w:val="004A63EB"/>
    <w:rsid w:val="004E199D"/>
    <w:rsid w:val="004E57EB"/>
    <w:rsid w:val="00505F68"/>
    <w:rsid w:val="005072EF"/>
    <w:rsid w:val="005117BC"/>
    <w:rsid w:val="00512D11"/>
    <w:rsid w:val="00516F1C"/>
    <w:rsid w:val="005508FA"/>
    <w:rsid w:val="00557692"/>
    <w:rsid w:val="005A05E4"/>
    <w:rsid w:val="005A6187"/>
    <w:rsid w:val="005B0A9A"/>
    <w:rsid w:val="005C594C"/>
    <w:rsid w:val="005C6F07"/>
    <w:rsid w:val="0060309F"/>
    <w:rsid w:val="006046DF"/>
    <w:rsid w:val="00606899"/>
    <w:rsid w:val="00616F98"/>
    <w:rsid w:val="006204B8"/>
    <w:rsid w:val="00637AE3"/>
    <w:rsid w:val="00640AF3"/>
    <w:rsid w:val="0064722A"/>
    <w:rsid w:val="0066029C"/>
    <w:rsid w:val="0067356B"/>
    <w:rsid w:val="006919C0"/>
    <w:rsid w:val="006D2304"/>
    <w:rsid w:val="006D6A95"/>
    <w:rsid w:val="006E1FAA"/>
    <w:rsid w:val="006F6D1B"/>
    <w:rsid w:val="007002A5"/>
    <w:rsid w:val="00704919"/>
    <w:rsid w:val="00707D93"/>
    <w:rsid w:val="00715B3E"/>
    <w:rsid w:val="00720F1D"/>
    <w:rsid w:val="00740492"/>
    <w:rsid w:val="00785EEB"/>
    <w:rsid w:val="0079164A"/>
    <w:rsid w:val="00792620"/>
    <w:rsid w:val="007A3ADE"/>
    <w:rsid w:val="007C78CD"/>
    <w:rsid w:val="007E4622"/>
    <w:rsid w:val="007F550C"/>
    <w:rsid w:val="00825D1E"/>
    <w:rsid w:val="00834A12"/>
    <w:rsid w:val="00853179"/>
    <w:rsid w:val="008532AC"/>
    <w:rsid w:val="0085767A"/>
    <w:rsid w:val="00864DA9"/>
    <w:rsid w:val="008657C9"/>
    <w:rsid w:val="00866D86"/>
    <w:rsid w:val="00883607"/>
    <w:rsid w:val="00884872"/>
    <w:rsid w:val="00885592"/>
    <w:rsid w:val="008937FF"/>
    <w:rsid w:val="00896515"/>
    <w:rsid w:val="008A2C05"/>
    <w:rsid w:val="008A2E9C"/>
    <w:rsid w:val="008B5CBD"/>
    <w:rsid w:val="008C54E3"/>
    <w:rsid w:val="008D3C45"/>
    <w:rsid w:val="008E46A1"/>
    <w:rsid w:val="008F148A"/>
    <w:rsid w:val="008F4E23"/>
    <w:rsid w:val="00916376"/>
    <w:rsid w:val="009169FD"/>
    <w:rsid w:val="00917879"/>
    <w:rsid w:val="009565EA"/>
    <w:rsid w:val="00982926"/>
    <w:rsid w:val="00985078"/>
    <w:rsid w:val="00990BBD"/>
    <w:rsid w:val="009C799A"/>
    <w:rsid w:val="009D0074"/>
    <w:rsid w:val="009E56F6"/>
    <w:rsid w:val="00A21AA6"/>
    <w:rsid w:val="00A31F51"/>
    <w:rsid w:val="00A34B59"/>
    <w:rsid w:val="00A36555"/>
    <w:rsid w:val="00A4706D"/>
    <w:rsid w:val="00A71555"/>
    <w:rsid w:val="00A730D5"/>
    <w:rsid w:val="00A73A59"/>
    <w:rsid w:val="00AB1B01"/>
    <w:rsid w:val="00AB4241"/>
    <w:rsid w:val="00AC6B4D"/>
    <w:rsid w:val="00AF0581"/>
    <w:rsid w:val="00B3642D"/>
    <w:rsid w:val="00B82A51"/>
    <w:rsid w:val="00BA33BA"/>
    <w:rsid w:val="00BA3622"/>
    <w:rsid w:val="00BA40FA"/>
    <w:rsid w:val="00BB7BEF"/>
    <w:rsid w:val="00BF60A9"/>
    <w:rsid w:val="00BF6840"/>
    <w:rsid w:val="00C13D8F"/>
    <w:rsid w:val="00C60FA4"/>
    <w:rsid w:val="00C71A28"/>
    <w:rsid w:val="00C72F09"/>
    <w:rsid w:val="00C73057"/>
    <w:rsid w:val="00C854B0"/>
    <w:rsid w:val="00C86159"/>
    <w:rsid w:val="00CA1405"/>
    <w:rsid w:val="00CA18A3"/>
    <w:rsid w:val="00CA3E4E"/>
    <w:rsid w:val="00CA494A"/>
    <w:rsid w:val="00CB45A9"/>
    <w:rsid w:val="00CE72AB"/>
    <w:rsid w:val="00D07C25"/>
    <w:rsid w:val="00D10B75"/>
    <w:rsid w:val="00D13484"/>
    <w:rsid w:val="00D15176"/>
    <w:rsid w:val="00D262E9"/>
    <w:rsid w:val="00D50B30"/>
    <w:rsid w:val="00D832D4"/>
    <w:rsid w:val="00D84FCF"/>
    <w:rsid w:val="00DA5A0A"/>
    <w:rsid w:val="00DB1EDD"/>
    <w:rsid w:val="00DD106F"/>
    <w:rsid w:val="00E139A2"/>
    <w:rsid w:val="00E15569"/>
    <w:rsid w:val="00E15943"/>
    <w:rsid w:val="00E16FDA"/>
    <w:rsid w:val="00E17D18"/>
    <w:rsid w:val="00E50645"/>
    <w:rsid w:val="00E71A28"/>
    <w:rsid w:val="00E859CA"/>
    <w:rsid w:val="00E86DE7"/>
    <w:rsid w:val="00ED00CB"/>
    <w:rsid w:val="00ED5B73"/>
    <w:rsid w:val="00EE161F"/>
    <w:rsid w:val="00EE6A98"/>
    <w:rsid w:val="00EF2953"/>
    <w:rsid w:val="00EF5264"/>
    <w:rsid w:val="00F071F3"/>
    <w:rsid w:val="00F07EA9"/>
    <w:rsid w:val="00F14D2A"/>
    <w:rsid w:val="00F21202"/>
    <w:rsid w:val="00F2495B"/>
    <w:rsid w:val="00F3175E"/>
    <w:rsid w:val="00F40C52"/>
    <w:rsid w:val="00F65174"/>
    <w:rsid w:val="00F92F63"/>
    <w:rsid w:val="00F932FD"/>
    <w:rsid w:val="00FA2720"/>
    <w:rsid w:val="00FA5121"/>
    <w:rsid w:val="00FD1A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43BF"/>
  <w15:chartTrackingRefBased/>
  <w15:docId w15:val="{CBA4A01E-C729-4F34-A344-2AC0DA29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6159"/>
    <w:pPr>
      <w:spacing w:after="0" w:line="360" w:lineRule="auto"/>
      <w:jc w:val="both"/>
    </w:pPr>
    <w:rPr>
      <w:rFonts w:ascii="Tahoma" w:hAnsi="Tahoma"/>
      <w:sz w:val="18"/>
    </w:rPr>
  </w:style>
  <w:style w:type="paragraph" w:styleId="Nagwek1">
    <w:name w:val="heading 1"/>
    <w:basedOn w:val="Normalny"/>
    <w:next w:val="Normalny"/>
    <w:link w:val="Nagwek1Znak"/>
    <w:uiPriority w:val="9"/>
    <w:qFormat/>
    <w:rsid w:val="00325743"/>
    <w:pPr>
      <w:keepNext/>
      <w:keepLines/>
      <w:spacing w:before="240" w:after="120"/>
      <w:jc w:val="center"/>
      <w:outlineLvl w:val="0"/>
    </w:pPr>
    <w:rPr>
      <w:rFonts w:eastAsiaTheme="majorEastAsia" w:cstheme="majorBidi"/>
      <w:b/>
      <w:color w:val="000000" w:themeColor="text1"/>
      <w:sz w:val="2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66029C"/>
    <w:rPr>
      <w:i/>
      <w:iCs/>
    </w:rPr>
  </w:style>
  <w:style w:type="character" w:styleId="Odwoaniedokomentarza">
    <w:name w:val="annotation reference"/>
    <w:basedOn w:val="Domylnaczcionkaakapitu"/>
    <w:uiPriority w:val="99"/>
    <w:unhideWhenUsed/>
    <w:rsid w:val="00151A69"/>
    <w:rPr>
      <w:sz w:val="16"/>
      <w:szCs w:val="16"/>
    </w:rPr>
  </w:style>
  <w:style w:type="paragraph" w:styleId="Tekstkomentarza">
    <w:name w:val="annotation text"/>
    <w:basedOn w:val="Normalny"/>
    <w:link w:val="TekstkomentarzaZnak"/>
    <w:uiPriority w:val="99"/>
    <w:unhideWhenUsed/>
    <w:rsid w:val="00151A69"/>
    <w:pPr>
      <w:spacing w:line="240" w:lineRule="auto"/>
    </w:pPr>
    <w:rPr>
      <w:sz w:val="20"/>
      <w:szCs w:val="20"/>
    </w:rPr>
  </w:style>
  <w:style w:type="character" w:customStyle="1" w:styleId="TekstkomentarzaZnak">
    <w:name w:val="Tekst komentarza Znak"/>
    <w:basedOn w:val="Domylnaczcionkaakapitu"/>
    <w:link w:val="Tekstkomentarza"/>
    <w:uiPriority w:val="99"/>
    <w:rsid w:val="00151A69"/>
    <w:rPr>
      <w:sz w:val="20"/>
      <w:szCs w:val="20"/>
    </w:rPr>
  </w:style>
  <w:style w:type="paragraph" w:styleId="Tematkomentarza">
    <w:name w:val="annotation subject"/>
    <w:basedOn w:val="Tekstkomentarza"/>
    <w:next w:val="Tekstkomentarza"/>
    <w:link w:val="TematkomentarzaZnak"/>
    <w:uiPriority w:val="99"/>
    <w:semiHidden/>
    <w:unhideWhenUsed/>
    <w:rsid w:val="00151A69"/>
    <w:rPr>
      <w:b/>
      <w:bCs/>
    </w:rPr>
  </w:style>
  <w:style w:type="character" w:customStyle="1" w:styleId="TematkomentarzaZnak">
    <w:name w:val="Temat komentarza Znak"/>
    <w:basedOn w:val="TekstkomentarzaZnak"/>
    <w:link w:val="Tematkomentarza"/>
    <w:uiPriority w:val="99"/>
    <w:semiHidden/>
    <w:rsid w:val="00151A69"/>
    <w:rPr>
      <w:b/>
      <w:bCs/>
      <w:sz w:val="20"/>
      <w:szCs w:val="20"/>
    </w:rPr>
  </w:style>
  <w:style w:type="paragraph" w:styleId="Tekstdymka">
    <w:name w:val="Balloon Text"/>
    <w:basedOn w:val="Normalny"/>
    <w:link w:val="TekstdymkaZnak"/>
    <w:uiPriority w:val="99"/>
    <w:semiHidden/>
    <w:unhideWhenUsed/>
    <w:rsid w:val="00151A69"/>
    <w:pPr>
      <w:spacing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151A69"/>
    <w:rPr>
      <w:rFonts w:ascii="Segoe UI" w:hAnsi="Segoe UI" w:cs="Segoe UI"/>
      <w:sz w:val="18"/>
      <w:szCs w:val="18"/>
    </w:rPr>
  </w:style>
  <w:style w:type="paragraph" w:styleId="NormalnyWeb">
    <w:name w:val="Normal (Web)"/>
    <w:basedOn w:val="Normalny"/>
    <w:uiPriority w:val="99"/>
    <w:semiHidden/>
    <w:unhideWhenUsed/>
    <w:rsid w:val="00C86159"/>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Akapitzlist">
    <w:name w:val="List Paragraph"/>
    <w:aliases w:val="Numerowanie,List Paragraph,Akapit z listą BS,Punkt 1.1,Kolorowa lista — akcent 11,Akapit z listą1"/>
    <w:basedOn w:val="Normalny"/>
    <w:link w:val="AkapitzlistZnak"/>
    <w:uiPriority w:val="34"/>
    <w:qFormat/>
    <w:rsid w:val="00C86159"/>
    <w:pPr>
      <w:ind w:left="720"/>
      <w:contextualSpacing/>
    </w:pPr>
  </w:style>
  <w:style w:type="character" w:customStyle="1" w:styleId="AkapitzlistZnak">
    <w:name w:val="Akapit z listą Znak"/>
    <w:aliases w:val="Numerowanie Znak,List Paragraph Znak,Akapit z listą BS Znak,Punkt 1.1 Znak,Kolorowa lista — akcent 11 Znak,Akapit z listą1 Znak"/>
    <w:link w:val="Akapitzlist"/>
    <w:uiPriority w:val="34"/>
    <w:qFormat/>
    <w:rsid w:val="008C54E3"/>
    <w:rPr>
      <w:rFonts w:ascii="Tahoma" w:hAnsi="Tahoma"/>
      <w:sz w:val="18"/>
    </w:rPr>
  </w:style>
  <w:style w:type="paragraph" w:customStyle="1" w:styleId="Default">
    <w:name w:val="Default"/>
    <w:rsid w:val="003257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Nagwek1Znak">
    <w:name w:val="Nagłówek 1 Znak"/>
    <w:basedOn w:val="Domylnaczcionkaakapitu"/>
    <w:link w:val="Nagwek1"/>
    <w:uiPriority w:val="9"/>
    <w:rsid w:val="00325743"/>
    <w:rPr>
      <w:rFonts w:ascii="Tahoma" w:eastAsiaTheme="majorEastAsia" w:hAnsi="Tahoma" w:cstheme="majorBidi"/>
      <w:b/>
      <w:color w:val="000000" w:themeColor="text1"/>
      <w:sz w:val="20"/>
      <w:szCs w:val="32"/>
    </w:rPr>
  </w:style>
  <w:style w:type="paragraph" w:styleId="Nagwekspisutreci">
    <w:name w:val="TOC Heading"/>
    <w:basedOn w:val="Nagwek1"/>
    <w:next w:val="Normalny"/>
    <w:uiPriority w:val="39"/>
    <w:unhideWhenUsed/>
    <w:qFormat/>
    <w:rsid w:val="00325743"/>
    <w:pPr>
      <w:spacing w:after="0" w:line="259" w:lineRule="auto"/>
      <w:jc w:val="left"/>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325743"/>
    <w:pPr>
      <w:tabs>
        <w:tab w:val="right" w:leader="dot" w:pos="9062"/>
      </w:tabs>
      <w:spacing w:before="240" w:after="120" w:line="288" w:lineRule="auto"/>
    </w:pPr>
    <w:rPr>
      <w:b/>
    </w:rPr>
  </w:style>
  <w:style w:type="character" w:styleId="Hipercze">
    <w:name w:val="Hyperlink"/>
    <w:basedOn w:val="Domylnaczcionkaakapitu"/>
    <w:uiPriority w:val="99"/>
    <w:unhideWhenUsed/>
    <w:rsid w:val="00325743"/>
    <w:rPr>
      <w:color w:val="0563C1"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nhideWhenUsed/>
    <w:qFormat/>
    <w:rsid w:val="00F40C52"/>
    <w:pPr>
      <w:spacing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qFormat/>
    <w:rsid w:val="00F40C52"/>
    <w:rPr>
      <w:rFonts w:ascii="Tahoma" w:hAnsi="Tahoma"/>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F40C52"/>
    <w:rPr>
      <w:vertAlign w:val="superscript"/>
    </w:rPr>
  </w:style>
  <w:style w:type="paragraph" w:styleId="Nagwek">
    <w:name w:val="header"/>
    <w:basedOn w:val="Normalny"/>
    <w:link w:val="NagwekZnak"/>
    <w:uiPriority w:val="99"/>
    <w:unhideWhenUsed/>
    <w:rsid w:val="005A6187"/>
    <w:pPr>
      <w:tabs>
        <w:tab w:val="center" w:pos="4536"/>
        <w:tab w:val="right" w:pos="9072"/>
      </w:tabs>
      <w:spacing w:line="240" w:lineRule="auto"/>
    </w:pPr>
  </w:style>
  <w:style w:type="character" w:customStyle="1" w:styleId="NagwekZnak">
    <w:name w:val="Nagłówek Znak"/>
    <w:basedOn w:val="Domylnaczcionkaakapitu"/>
    <w:link w:val="Nagwek"/>
    <w:uiPriority w:val="99"/>
    <w:rsid w:val="005A6187"/>
    <w:rPr>
      <w:rFonts w:ascii="Tahoma" w:hAnsi="Tahoma"/>
      <w:sz w:val="18"/>
    </w:rPr>
  </w:style>
  <w:style w:type="paragraph" w:styleId="Stopka">
    <w:name w:val="footer"/>
    <w:basedOn w:val="Normalny"/>
    <w:link w:val="StopkaZnak"/>
    <w:uiPriority w:val="99"/>
    <w:unhideWhenUsed/>
    <w:rsid w:val="005A6187"/>
    <w:pPr>
      <w:tabs>
        <w:tab w:val="center" w:pos="4536"/>
        <w:tab w:val="right" w:pos="9072"/>
      </w:tabs>
      <w:spacing w:line="240" w:lineRule="auto"/>
    </w:pPr>
  </w:style>
  <w:style w:type="character" w:customStyle="1" w:styleId="StopkaZnak">
    <w:name w:val="Stopka Znak"/>
    <w:basedOn w:val="Domylnaczcionkaakapitu"/>
    <w:link w:val="Stopka"/>
    <w:uiPriority w:val="99"/>
    <w:rsid w:val="005A6187"/>
    <w:rPr>
      <w:rFonts w:ascii="Tahoma" w:hAnsi="Tahoma"/>
      <w:sz w:val="18"/>
    </w:rPr>
  </w:style>
  <w:style w:type="character" w:customStyle="1" w:styleId="Zakotwiczenieprzypisudolnego">
    <w:name w:val="Zakotwiczenie przypisu dolnego"/>
    <w:rsid w:val="00792620"/>
    <w:rPr>
      <w:vertAlign w:val="superscript"/>
    </w:rPr>
  </w:style>
  <w:style w:type="character" w:customStyle="1" w:styleId="Znakiprzypiswdolnych">
    <w:name w:val="Znaki przypisów dolnych"/>
    <w:qFormat/>
    <w:rsid w:val="00792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92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o.dolnyslask.pl/o-projekcie/poznaj-fundusze-europejskie-bez-bari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34313-2479-41D8-B50F-2F672387A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2D47CCDD</Template>
  <TotalTime>4</TotalTime>
  <Pages>20</Pages>
  <Words>8512</Words>
  <Characters>51077</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Drelich</dc:creator>
  <cp:keywords/>
  <dc:description/>
  <cp:lastModifiedBy>Wiesław Wojnarowicz1</cp:lastModifiedBy>
  <cp:revision>5</cp:revision>
  <cp:lastPrinted>2019-04-29T10:48:00Z</cp:lastPrinted>
  <dcterms:created xsi:type="dcterms:W3CDTF">2020-08-06T05:19:00Z</dcterms:created>
  <dcterms:modified xsi:type="dcterms:W3CDTF">2020-08-12T06:02:00Z</dcterms:modified>
</cp:coreProperties>
</file>